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CB" w:rsidRPr="002424C0" w:rsidRDefault="00D10BCA" w:rsidP="00D338CB">
      <w:pPr>
        <w:ind w:left="6237"/>
        <w:jc w:val="center"/>
      </w:pPr>
      <w:r>
        <w:rPr>
          <w:noProof/>
        </w:rPr>
        <w:t>ПРОЕКТ</w:t>
      </w:r>
      <w:bookmarkStart w:id="0" w:name="_GoBack"/>
      <w:bookmarkEnd w:id="0"/>
    </w:p>
    <w:p w:rsidR="00D338CB" w:rsidRPr="002424C0" w:rsidRDefault="00D338CB" w:rsidP="00D338CB">
      <w:pPr>
        <w:autoSpaceDE w:val="0"/>
        <w:autoSpaceDN w:val="0"/>
        <w:jc w:val="right"/>
        <w:rPr>
          <w:b/>
        </w:rPr>
      </w:pPr>
    </w:p>
    <w:p w:rsidR="00D338CB" w:rsidRPr="002424C0" w:rsidRDefault="00D338CB" w:rsidP="00D338CB">
      <w:pPr>
        <w:autoSpaceDE w:val="0"/>
        <w:autoSpaceDN w:val="0"/>
        <w:jc w:val="center"/>
        <w:rPr>
          <w:b/>
        </w:rPr>
      </w:pPr>
      <w:r w:rsidRPr="002424C0">
        <w:rPr>
          <w:b/>
        </w:rPr>
        <w:t>П</w:t>
      </w:r>
      <w:r>
        <w:rPr>
          <w:b/>
        </w:rPr>
        <w:t>рограмма</w:t>
      </w:r>
      <w:r w:rsidRPr="002424C0">
        <w:rPr>
          <w:b/>
        </w:rPr>
        <w:t xml:space="preserve"> </w:t>
      </w:r>
    </w:p>
    <w:p w:rsidR="00D338CB" w:rsidRPr="002424C0" w:rsidRDefault="00D338CB" w:rsidP="00D338CB">
      <w:pPr>
        <w:autoSpaceDE w:val="0"/>
        <w:autoSpaceDN w:val="0"/>
        <w:jc w:val="center"/>
        <w:rPr>
          <w:b/>
        </w:rPr>
      </w:pPr>
      <w:r w:rsidRPr="002424C0">
        <w:rPr>
          <w:b/>
        </w:rPr>
        <w:t xml:space="preserve">профилактики рисков причинения вреда (ущерба) охраняемым законом ценностям </w:t>
      </w:r>
      <w:r>
        <w:rPr>
          <w:b/>
        </w:rPr>
        <w:br/>
      </w:r>
      <w:r w:rsidRPr="002424C0">
        <w:rPr>
          <w:b/>
        </w:rPr>
        <w:t xml:space="preserve">по муниципальному жилищному контролю, осуществляемому  </w:t>
      </w:r>
    </w:p>
    <w:p w:rsidR="00D338CB" w:rsidRDefault="00D338CB" w:rsidP="00D338CB">
      <w:pPr>
        <w:autoSpaceDE w:val="0"/>
        <w:autoSpaceDN w:val="0"/>
        <w:jc w:val="center"/>
        <w:rPr>
          <w:b/>
        </w:rPr>
      </w:pPr>
      <w:r w:rsidRPr="002424C0">
        <w:rPr>
          <w:b/>
        </w:rPr>
        <w:t>на территории городского округа город Шахунья Нижегородской области</w:t>
      </w:r>
    </w:p>
    <w:p w:rsidR="00D338CB" w:rsidRPr="002424C0" w:rsidRDefault="00D338CB" w:rsidP="00D338CB">
      <w:pPr>
        <w:autoSpaceDE w:val="0"/>
        <w:autoSpaceDN w:val="0"/>
        <w:jc w:val="center"/>
        <w:rPr>
          <w:b/>
        </w:rPr>
      </w:pPr>
      <w:r w:rsidRPr="002424C0">
        <w:rPr>
          <w:b/>
        </w:rPr>
        <w:t>на 2022 год</w:t>
      </w:r>
    </w:p>
    <w:p w:rsidR="00D338CB" w:rsidRPr="002424C0" w:rsidRDefault="00D338CB" w:rsidP="00D338CB">
      <w:pPr>
        <w:autoSpaceDN w:val="0"/>
        <w:jc w:val="center"/>
        <w:textAlignment w:val="baseline"/>
        <w:rPr>
          <w:b/>
        </w:rPr>
      </w:pPr>
    </w:p>
    <w:p w:rsidR="00D338CB" w:rsidRPr="002424C0" w:rsidRDefault="00D338CB" w:rsidP="00D338CB">
      <w:pPr>
        <w:autoSpaceDE w:val="0"/>
        <w:autoSpaceDN w:val="0"/>
        <w:jc w:val="center"/>
        <w:outlineLvl w:val="1"/>
        <w:rPr>
          <w:b/>
        </w:rPr>
      </w:pPr>
      <w:r w:rsidRPr="002424C0">
        <w:rPr>
          <w:b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338CB" w:rsidRPr="002424C0" w:rsidRDefault="00D338CB" w:rsidP="00D338CB">
      <w:pPr>
        <w:autoSpaceDE w:val="0"/>
        <w:autoSpaceDN w:val="0"/>
        <w:jc w:val="center"/>
        <w:outlineLvl w:val="1"/>
        <w:rPr>
          <w:b/>
        </w:rPr>
      </w:pPr>
    </w:p>
    <w:p w:rsidR="00D338CB" w:rsidRPr="002424C0" w:rsidRDefault="00D338CB" w:rsidP="00D338CB">
      <w:pPr>
        <w:widowControl w:val="0"/>
        <w:ind w:firstLine="708"/>
        <w:jc w:val="both"/>
      </w:pPr>
      <w:proofErr w:type="gramStart"/>
      <w:r w:rsidRPr="002424C0">
        <w:t>В соответствии с Положением о муниципальном жилищном контроле, осуществляемом в границах муниципального образования городской округ город Шахунья Нижегородской области, утвержденным решением Совета депутатов городского округа город Шах</w:t>
      </w:r>
      <w:r>
        <w:t xml:space="preserve">унья Нижегородской области от </w:t>
      </w:r>
      <w:r w:rsidRPr="002424C0">
        <w:t>29 октября 2021 года № 66-2, функцию муниципального жилищного контроля осуществляет администрация городского округа город Шахунья Нижегородской области в лице Управления промышленности, транспорта, связи, жилищно-коммунального хозяйства и архитектурной деятельности администрации городского</w:t>
      </w:r>
      <w:proofErr w:type="gramEnd"/>
      <w:r w:rsidRPr="002424C0">
        <w:t xml:space="preserve"> округа город Шахунья Нижегородской области. 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 xml:space="preserve">В соответствии с возложенными на них задачами, осуществляют </w:t>
      </w:r>
      <w:proofErr w:type="gramStart"/>
      <w:r w:rsidRPr="002424C0">
        <w:t>контроль за</w:t>
      </w:r>
      <w:proofErr w:type="gramEnd"/>
      <w:r w:rsidRPr="002424C0">
        <w:rPr>
          <w:rFonts w:eastAsia="Calibri"/>
        </w:rPr>
        <w:t xml:space="preserve"> соблюдением </w:t>
      </w:r>
      <w:r w:rsidRPr="002424C0">
        <w:t>юридическими лицами, индивидуальными предпринимателями и гражданами обязательных требований в отношении муниципального жилищного фонда, а именно:</w:t>
      </w:r>
    </w:p>
    <w:p w:rsidR="00D338CB" w:rsidRPr="002424C0" w:rsidRDefault="00D338CB" w:rsidP="00D338CB">
      <w:pPr>
        <w:widowControl w:val="0"/>
        <w:ind w:right="-1" w:firstLine="709"/>
        <w:jc w:val="both"/>
      </w:pPr>
      <w:proofErr w:type="gramStart"/>
      <w:r w:rsidRPr="002424C0"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2) требований к формированию фондов капитального ремонта;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 xml:space="preserve">9) требований к порядку размещения </w:t>
      </w:r>
      <w:proofErr w:type="spellStart"/>
      <w:r w:rsidRPr="002424C0">
        <w:t>ресурсоснабжающими</w:t>
      </w:r>
      <w:proofErr w:type="spellEnd"/>
      <w:r w:rsidRPr="002424C0"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10) требований к обеспечению доступности для инвалидов помещений в многоквартирных домах;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 xml:space="preserve">11) требований к предоставлению жилых помещений в наемных домах социального </w:t>
      </w:r>
      <w:r w:rsidRPr="002424C0">
        <w:lastRenderedPageBreak/>
        <w:t>использования.</w:t>
      </w:r>
    </w:p>
    <w:p w:rsidR="00D338CB" w:rsidRPr="002424C0" w:rsidRDefault="00D338CB" w:rsidP="00D338CB">
      <w:pPr>
        <w:widowControl w:val="0"/>
        <w:ind w:firstLine="709"/>
        <w:contextualSpacing/>
        <w:jc w:val="both"/>
      </w:pPr>
      <w:proofErr w:type="gramStart"/>
      <w:r w:rsidRPr="002424C0">
        <w:rPr>
          <w:rFonts w:eastAsia="Calibri"/>
        </w:rPr>
        <w:t xml:space="preserve">Объектом муниципального жилищного контроля (далее - объект контроля) является жилищный фонд, находящийся в муниципальной собственности городского округа город Шахунья Нижегородской области, а также </w:t>
      </w:r>
      <w:r w:rsidRPr="002424C0"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при эксплуатации муниципального жилищного фонда.</w:t>
      </w:r>
      <w:proofErr w:type="gramEnd"/>
      <w:r w:rsidRPr="002424C0">
        <w:t xml:space="preserve"> Контролируемыми лицами при осуществлении муниципального жилищного контроля являются лица, использующие объекты контроля. </w:t>
      </w:r>
    </w:p>
    <w:p w:rsidR="00D338CB" w:rsidRPr="002424C0" w:rsidRDefault="00D338CB" w:rsidP="00D338CB">
      <w:pPr>
        <w:widowControl w:val="0"/>
        <w:ind w:firstLine="709"/>
        <w:contextualSpacing/>
        <w:jc w:val="both"/>
        <w:rPr>
          <w:spacing w:val="2"/>
        </w:rPr>
      </w:pPr>
      <w:r w:rsidRPr="002424C0">
        <w:rPr>
          <w:spacing w:val="2"/>
        </w:rPr>
        <w:t xml:space="preserve">Динамика числа проверок при осуществлении муниципального жилищного контроля: </w:t>
      </w:r>
    </w:p>
    <w:tbl>
      <w:tblPr>
        <w:tblW w:w="9356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559"/>
      </w:tblGrid>
      <w:tr w:rsidR="00D338CB" w:rsidRPr="002424C0" w:rsidTr="00D10AB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8CB" w:rsidRPr="002424C0" w:rsidRDefault="00D338CB" w:rsidP="00D10AB4">
            <w:r w:rsidRPr="002424C0">
              <w:t>Вид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8CB" w:rsidRPr="002424C0" w:rsidRDefault="00D338CB" w:rsidP="00D10AB4">
            <w:r w:rsidRPr="002424C0">
              <w:t>2019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8CB" w:rsidRPr="002424C0" w:rsidRDefault="00D338CB" w:rsidP="00D10AB4">
            <w:r w:rsidRPr="002424C0">
              <w:t>2020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8CB" w:rsidRPr="002424C0" w:rsidRDefault="00D338CB" w:rsidP="00D10AB4">
            <w:r w:rsidRPr="002424C0">
              <w:t>2021 год</w:t>
            </w:r>
          </w:p>
        </w:tc>
      </w:tr>
      <w:tr w:rsidR="00D338CB" w:rsidRPr="002424C0" w:rsidTr="00D10AB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8CB" w:rsidRPr="002424C0" w:rsidRDefault="00D338CB" w:rsidP="00D10AB4">
            <w:r w:rsidRPr="002424C0"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38CB" w:rsidRPr="002424C0" w:rsidRDefault="00D338CB" w:rsidP="00D10AB4">
            <w:pPr>
              <w:jc w:val="center"/>
            </w:pPr>
            <w:r w:rsidRPr="002424C0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38CB" w:rsidRPr="002424C0" w:rsidRDefault="00D338CB" w:rsidP="00D10AB4">
            <w:pPr>
              <w:jc w:val="center"/>
            </w:pPr>
            <w:r w:rsidRPr="002424C0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38CB" w:rsidRPr="002424C0" w:rsidRDefault="00D338CB" w:rsidP="00D10AB4">
            <w:pPr>
              <w:jc w:val="center"/>
            </w:pPr>
            <w:r w:rsidRPr="002424C0">
              <w:t>0</w:t>
            </w:r>
          </w:p>
        </w:tc>
      </w:tr>
    </w:tbl>
    <w:p w:rsidR="00D338CB" w:rsidRPr="002424C0" w:rsidRDefault="00D338CB" w:rsidP="00D338CB">
      <w:pPr>
        <w:shd w:val="clear" w:color="auto" w:fill="FFFFFF"/>
        <w:ind w:firstLine="708"/>
        <w:jc w:val="both"/>
        <w:rPr>
          <w:spacing w:val="2"/>
        </w:rPr>
      </w:pPr>
      <w:r w:rsidRPr="002424C0">
        <w:rPr>
          <w:spacing w:val="2"/>
        </w:rPr>
        <w:t>Плановые проверки по муниципальному жилищному контролю не осуществлялись в связи с отсутствием согласованных с органами прокуратуры планов проверок. Оснований для проведения внеплановых проверок не возникло.</w:t>
      </w:r>
    </w:p>
    <w:p w:rsidR="00D338CB" w:rsidRPr="002424C0" w:rsidRDefault="00D338CB" w:rsidP="00D338CB">
      <w:pPr>
        <w:ind w:firstLine="709"/>
        <w:jc w:val="both"/>
      </w:pPr>
      <w:proofErr w:type="gramStart"/>
      <w:r w:rsidRPr="002424C0">
        <w:t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городского округа город Шахунья Нижегородской области от 4 декабря 2020 года № 1145 утверждена Программа профилактики нарушений обязательных требований, требований, установленных муниципальными правовыми актами, при осуществлении на территории городского округа город Шахунья Нижегородской области</w:t>
      </w:r>
      <w:proofErr w:type="gramEnd"/>
      <w:r w:rsidRPr="002424C0">
        <w:t xml:space="preserve"> муниципального контроля на 2021 г. и плановый период 2022 - 2023 гг.».</w:t>
      </w:r>
    </w:p>
    <w:p w:rsidR="00D338CB" w:rsidRPr="002424C0" w:rsidRDefault="00D338CB" w:rsidP="00D338CB">
      <w:pPr>
        <w:ind w:firstLine="709"/>
        <w:jc w:val="both"/>
      </w:pPr>
      <w:r w:rsidRPr="002424C0">
        <w:t>Контрольным органом в рамках реализации Программы в первом полугодии 2021 г. регулярно проводилась работа с населением по вопросам соблюдения требований жилищного законодательства. В рамках профилактики рисков причинения вреда (ущерба) охраняемым законом ценностям администрацией городского округа город Шахунья Нижегородской области в 2021 году осуществляются следующие мероприятия:</w:t>
      </w:r>
    </w:p>
    <w:p w:rsidR="00D338CB" w:rsidRPr="002424C0" w:rsidRDefault="00D338CB" w:rsidP="00D338CB">
      <w:pPr>
        <w:tabs>
          <w:tab w:val="left" w:pos="1134"/>
        </w:tabs>
        <w:ind w:firstLine="709"/>
        <w:jc w:val="both"/>
      </w:pPr>
      <w:r w:rsidRPr="002424C0">
        <w:t>1)</w:t>
      </w:r>
      <w:r w:rsidRPr="002424C0">
        <w:tab/>
        <w:t>размещение на официальном сайте администрации городского округа город Шахунья Нижегородской области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338CB" w:rsidRPr="002424C0" w:rsidRDefault="00D338CB" w:rsidP="00D338CB">
      <w:pPr>
        <w:tabs>
          <w:tab w:val="left" w:pos="1134"/>
        </w:tabs>
        <w:ind w:firstLine="709"/>
        <w:jc w:val="both"/>
        <w:rPr>
          <w:spacing w:val="2"/>
        </w:rPr>
      </w:pPr>
      <w:r w:rsidRPr="002424C0">
        <w:t>2)</w:t>
      </w:r>
      <w:r w:rsidRPr="002424C0">
        <w:tab/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  <w:r w:rsidRPr="002424C0">
        <w:rPr>
          <w:spacing w:val="2"/>
        </w:rPr>
        <w:t xml:space="preserve">- </w:t>
      </w:r>
      <w:proofErr w:type="gramStart"/>
      <w:r w:rsidRPr="002424C0">
        <w:rPr>
          <w:spacing w:val="2"/>
        </w:rPr>
        <w:t>обобщена и размещена на официальном сайте администрации городского округа город Шахунья  Нижегородской области практика осуществления муниципального жилищного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  <w:proofErr w:type="gramEnd"/>
    </w:p>
    <w:p w:rsidR="00D338CB" w:rsidRPr="002424C0" w:rsidRDefault="00D338CB" w:rsidP="00D338CB">
      <w:pPr>
        <w:ind w:firstLine="709"/>
        <w:jc w:val="both"/>
        <w:rPr>
          <w:spacing w:val="2"/>
        </w:rPr>
      </w:pPr>
      <w:r w:rsidRPr="002424C0">
        <w:rPr>
          <w:spacing w:val="2"/>
        </w:rPr>
        <w:t xml:space="preserve">3) На официальном сайте администрации городского округа город </w:t>
      </w:r>
      <w:r w:rsidRPr="002424C0">
        <w:rPr>
          <w:bCs/>
          <w:spacing w:val="2"/>
        </w:rPr>
        <w:t>Шахунья</w:t>
      </w:r>
      <w:r w:rsidRPr="002424C0">
        <w:rPr>
          <w:spacing w:val="2"/>
        </w:rPr>
        <w:t xml:space="preserve"> Нижегородской области создан раздел «Контрольно-надзорная деятельность», в котором аккумулируется необходимая подконтрольным субъектам информация в части муниципального жилищного контроля  (https://shahadm.ru/taxonomy/term/79).</w:t>
      </w:r>
    </w:p>
    <w:p w:rsidR="00D338CB" w:rsidRPr="002424C0" w:rsidRDefault="00D338CB" w:rsidP="00D338CB">
      <w:pPr>
        <w:ind w:firstLine="709"/>
      </w:pPr>
    </w:p>
    <w:p w:rsidR="00D338CB" w:rsidRPr="002424C0" w:rsidRDefault="00D338CB" w:rsidP="00D338CB">
      <w:pPr>
        <w:autoSpaceDE w:val="0"/>
        <w:autoSpaceDN w:val="0"/>
        <w:jc w:val="center"/>
        <w:outlineLvl w:val="1"/>
        <w:rPr>
          <w:b/>
        </w:rPr>
      </w:pPr>
      <w:r w:rsidRPr="002424C0">
        <w:rPr>
          <w:b/>
        </w:rPr>
        <w:t xml:space="preserve">Раздел II. Цели и задачи </w:t>
      </w:r>
      <w:proofErr w:type="gramStart"/>
      <w:r w:rsidRPr="002424C0">
        <w:rPr>
          <w:b/>
        </w:rPr>
        <w:t>реализации программы профилактики рисков причинения вреда</w:t>
      </w:r>
      <w:proofErr w:type="gramEnd"/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Цели Программы: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38CB" w:rsidRPr="002424C0" w:rsidRDefault="00D338CB" w:rsidP="00D338CB">
      <w:pPr>
        <w:autoSpaceDE w:val="0"/>
        <w:autoSpaceDN w:val="0"/>
        <w:jc w:val="both"/>
      </w:pPr>
      <w:r w:rsidRPr="002424C0">
        <w:rPr>
          <w:color w:val="010101"/>
        </w:rPr>
        <w:lastRenderedPageBreak/>
        <w:tab/>
      </w:r>
      <w:r w:rsidRPr="002424C0">
        <w:t>Проведение профилактических мероприятий Программы позволяет решить следующие задачи: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повышение прозрачности осуществляемой органом контроля контрольной деятельности;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338CB" w:rsidRPr="002424C0" w:rsidRDefault="00D338CB" w:rsidP="00D338CB">
      <w:pPr>
        <w:autoSpaceDE w:val="0"/>
        <w:autoSpaceDN w:val="0"/>
      </w:pPr>
      <w:r w:rsidRPr="002424C0">
        <w:tab/>
      </w:r>
    </w:p>
    <w:p w:rsidR="00D338CB" w:rsidRPr="002424C0" w:rsidRDefault="00D338CB" w:rsidP="00D338CB">
      <w:pPr>
        <w:autoSpaceDE w:val="0"/>
        <w:autoSpaceDN w:val="0"/>
        <w:jc w:val="center"/>
        <w:rPr>
          <w:b/>
        </w:rPr>
      </w:pPr>
      <w:r w:rsidRPr="002424C0">
        <w:rPr>
          <w:b/>
        </w:rPr>
        <w:t>Раздел III. Перечень профилактических мероприятий, сроки (периодичность) их проведения</w:t>
      </w:r>
    </w:p>
    <w:p w:rsidR="00D338CB" w:rsidRPr="002424C0" w:rsidRDefault="00D338CB" w:rsidP="00D338CB">
      <w:pPr>
        <w:autoSpaceDN w:val="0"/>
        <w:contextualSpacing/>
        <w:textAlignment w:val="baseline"/>
        <w:rPr>
          <w:b/>
          <w:lang w:eastAsia="ar-SA"/>
        </w:rPr>
      </w:pPr>
    </w:p>
    <w:p w:rsidR="00D338CB" w:rsidRPr="002424C0" w:rsidRDefault="00D338CB" w:rsidP="00D338CB">
      <w:pPr>
        <w:ind w:firstLine="709"/>
        <w:jc w:val="both"/>
      </w:pPr>
      <w:r w:rsidRPr="002424C0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D338CB" w:rsidRPr="002424C0" w:rsidRDefault="00D338CB" w:rsidP="00D338CB">
      <w:pPr>
        <w:ind w:firstLine="709"/>
        <w:jc w:val="both"/>
      </w:pPr>
    </w:p>
    <w:p w:rsidR="00D338CB" w:rsidRPr="002424C0" w:rsidRDefault="00D338CB" w:rsidP="00D338CB">
      <w:pPr>
        <w:ind w:firstLine="709"/>
        <w:jc w:val="both"/>
      </w:pPr>
      <w:r w:rsidRPr="002424C0">
        <w:t>Перечень основных профилактических мероприятий Программы на 2022 год приведен в таблице №</w:t>
      </w:r>
      <w:r>
        <w:t xml:space="preserve"> </w:t>
      </w:r>
      <w:r w:rsidRPr="002424C0">
        <w:t xml:space="preserve">1. </w:t>
      </w:r>
    </w:p>
    <w:p w:rsidR="00D338CB" w:rsidRPr="002424C0" w:rsidRDefault="00D338CB" w:rsidP="00D338CB">
      <w:pPr>
        <w:ind w:firstLine="709"/>
        <w:jc w:val="right"/>
      </w:pPr>
      <w:r w:rsidRPr="002424C0">
        <w:t>Таблица №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896"/>
        <w:gridCol w:w="3686"/>
        <w:gridCol w:w="2126"/>
        <w:gridCol w:w="1241"/>
      </w:tblGrid>
      <w:tr w:rsidR="00D338CB" w:rsidRPr="002424C0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№</w:t>
            </w:r>
          </w:p>
        </w:tc>
        <w:tc>
          <w:tcPr>
            <w:tcW w:w="1896" w:type="dxa"/>
          </w:tcPr>
          <w:p w:rsidR="00D338CB" w:rsidRPr="002424C0" w:rsidRDefault="00D338CB" w:rsidP="00D10AB4">
            <w:r w:rsidRPr="002424C0">
              <w:t>Наименование мероприятия</w:t>
            </w:r>
          </w:p>
        </w:tc>
        <w:tc>
          <w:tcPr>
            <w:tcW w:w="3686" w:type="dxa"/>
          </w:tcPr>
          <w:p w:rsidR="00D338CB" w:rsidRPr="002424C0" w:rsidRDefault="00D338CB" w:rsidP="00D10AB4">
            <w:r w:rsidRPr="002424C0">
              <w:t>Сведения о мероприятии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Ответственный исполнитель</w:t>
            </w:r>
          </w:p>
        </w:tc>
        <w:tc>
          <w:tcPr>
            <w:tcW w:w="1241" w:type="dxa"/>
          </w:tcPr>
          <w:p w:rsidR="00D338CB" w:rsidRPr="002424C0" w:rsidRDefault="00D338CB" w:rsidP="00D10AB4">
            <w:r w:rsidRPr="002424C0">
              <w:t>Срок исполнения</w:t>
            </w:r>
          </w:p>
        </w:tc>
      </w:tr>
      <w:tr w:rsidR="00D338CB" w:rsidRPr="002424C0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</w:t>
            </w:r>
          </w:p>
        </w:tc>
        <w:tc>
          <w:tcPr>
            <w:tcW w:w="1896" w:type="dxa"/>
          </w:tcPr>
          <w:p w:rsidR="00D338CB" w:rsidRPr="002424C0" w:rsidRDefault="00D338CB" w:rsidP="00D10AB4">
            <w:r w:rsidRPr="002424C0">
              <w:t>Информирование</w:t>
            </w:r>
          </w:p>
        </w:tc>
        <w:tc>
          <w:tcPr>
            <w:tcW w:w="3686" w:type="dxa"/>
          </w:tcPr>
          <w:p w:rsidR="00D338CB" w:rsidRPr="002424C0" w:rsidRDefault="00D338CB" w:rsidP="00D10AB4">
            <w:pPr>
              <w:autoSpaceDE w:val="0"/>
              <w:autoSpaceDN w:val="0"/>
              <w:adjustRightInd w:val="0"/>
              <w:ind w:firstLine="34"/>
              <w:contextualSpacing/>
            </w:pPr>
            <w:proofErr w:type="gramStart"/>
            <w:r w:rsidRPr="002424C0"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2424C0">
                <w:t>частью 3 статьи 46</w:t>
              </w:r>
            </w:hyperlink>
            <w:r w:rsidRPr="002424C0">
              <w:t xml:space="preserve"> Закона № 248-ФЗ на официальном сайте администрации городского округа город Шахунья Нижегородской области в сети «Интернет»: https://shahadm.ru/taxonomy/term/79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 xml:space="preserve">Подлежат опубликованию </w:t>
            </w:r>
            <w:r w:rsidRPr="002424C0">
              <w:lastRenderedPageBreak/>
              <w:t>следующие сведения: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lastRenderedPageBreak/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>
            <w:r>
              <w:t>далее (Управление ЖКХ)</w:t>
            </w:r>
          </w:p>
        </w:tc>
        <w:tc>
          <w:tcPr>
            <w:tcW w:w="1241" w:type="dxa"/>
          </w:tcPr>
          <w:p w:rsidR="00D338CB" w:rsidRPr="002424C0" w:rsidRDefault="00D338CB" w:rsidP="00D10AB4">
            <w:r w:rsidRPr="002424C0">
              <w:t>постоянно</w:t>
            </w:r>
          </w:p>
        </w:tc>
      </w:tr>
      <w:tr w:rsidR="00D338CB" w:rsidRPr="002424C0" w:rsidTr="00D10AB4">
        <w:tc>
          <w:tcPr>
            <w:tcW w:w="622" w:type="dxa"/>
          </w:tcPr>
          <w:p w:rsidR="00D338CB" w:rsidRPr="002424C0" w:rsidRDefault="00D338CB" w:rsidP="00D10AB4">
            <w:r w:rsidRPr="002424C0">
              <w:lastRenderedPageBreak/>
              <w:t>1.1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>По мере разработки НПА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1.2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 xml:space="preserve">не позднее 5 рабочих дней с момента их разработки, утверждения и поступления информации об этом в </w:t>
            </w:r>
            <w:r>
              <w:t>Управление ЖКХ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1.3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 xml:space="preserve">не позднее 5 рабочих дней с момента его разработки, утверждения и поступления информации об этом в </w:t>
            </w:r>
            <w:r w:rsidRPr="00CC7825">
              <w:t>Управление ЖКХ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1.4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 xml:space="preserve"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</w:t>
            </w:r>
            <w:r w:rsidRPr="002424C0">
              <w:lastRenderedPageBreak/>
              <w:t>Федерации"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lastRenderedPageBreak/>
              <w:t xml:space="preserve">Управление промышленности, транспорта, связи, ЖКХ, энергетики и архитектурной деятельности </w:t>
            </w:r>
            <w:r w:rsidRPr="002424C0">
              <w:lastRenderedPageBreak/>
              <w:t>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lastRenderedPageBreak/>
              <w:t xml:space="preserve">не позднее 5 рабочих дней с момента их </w:t>
            </w:r>
            <w:r w:rsidRPr="002424C0">
              <w:lastRenderedPageBreak/>
              <w:t xml:space="preserve">разработки, утверждения и поступления информации об этом в </w:t>
            </w:r>
            <w:r w:rsidRPr="00CC7825">
              <w:t>Управление ЖКХ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lastRenderedPageBreak/>
              <w:t>1.5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 xml:space="preserve">программа профилактики рисков причинения вреда 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 xml:space="preserve">не позднее 5 рабочих дней с момента ее разработки, утверждения и поступления информации об этом в </w:t>
            </w:r>
            <w:r w:rsidRPr="00CC7825">
              <w:t>Управление ЖКХ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1.6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 xml:space="preserve">не позднее 5 рабочих дней с момента его разработки, утверждения и поступления информации об этом в </w:t>
            </w:r>
            <w:r w:rsidRPr="00CC7825">
              <w:t>Управление ЖКХ</w:t>
            </w:r>
          </w:p>
        </w:tc>
      </w:tr>
      <w:tr w:rsidR="00D338CB" w:rsidRPr="002424C0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1.7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 xml:space="preserve">Управление промышленности, транспорта, связи, ЖКХ, энергетики и архитектурной деятельности администрации городского округа </w:t>
            </w:r>
            <w:r w:rsidRPr="002424C0">
              <w:lastRenderedPageBreak/>
              <w:t>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lastRenderedPageBreak/>
              <w:t>постоянно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lastRenderedPageBreak/>
              <w:t>1.8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>доклад о государственном контроле (надзоре), муниципальном контроле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>не позднее 5 рабочих дней с момента его разработки и согласования с министерством экономического развития и инвестиций Нижегородской области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1.9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proofErr w:type="gramStart"/>
            <w:r w:rsidRPr="002424C0"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 xml:space="preserve">не позднее 5 рабочих дней с момента ее разработки и поступления информации об этом в </w:t>
            </w:r>
            <w:r w:rsidRPr="00CC7825">
              <w:t>Управление ЖКХ</w:t>
            </w:r>
          </w:p>
        </w:tc>
      </w:tr>
      <w:tr w:rsidR="00D338CB" w:rsidRPr="002424C0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2</w:t>
            </w:r>
          </w:p>
        </w:tc>
        <w:tc>
          <w:tcPr>
            <w:tcW w:w="1896" w:type="dxa"/>
          </w:tcPr>
          <w:p w:rsidR="00D338CB" w:rsidRPr="002424C0" w:rsidRDefault="00D338CB" w:rsidP="00D10AB4">
            <w:r w:rsidRPr="002424C0">
              <w:t>Консультирование</w:t>
            </w:r>
          </w:p>
        </w:tc>
        <w:tc>
          <w:tcPr>
            <w:tcW w:w="3686" w:type="dxa"/>
          </w:tcPr>
          <w:p w:rsidR="00D338CB" w:rsidRPr="002424C0" w:rsidRDefault="00D338CB" w:rsidP="00D10AB4">
            <w:pPr>
              <w:contextualSpacing/>
            </w:pPr>
            <w:proofErr w:type="gramStart"/>
            <w:r w:rsidRPr="002424C0">
              <w:t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      </w:r>
            <w:proofErr w:type="gramEnd"/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>Консультирование осуществляется Инспекторами как в устной форме - по телефонам 8 831 52 2-71-90, посредством видео-конференц-</w:t>
            </w:r>
            <w:r w:rsidRPr="002424C0">
              <w:lastRenderedPageBreak/>
              <w:t>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>Консультирование в устной и письменной формах осуществляется по следующим вопросам:</w:t>
            </w:r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>- компетенция контрольного органа;</w:t>
            </w:r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>- соблюдение обязательных требований;</w:t>
            </w:r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>- проведение контрольных мероприятий;</w:t>
            </w:r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>- применение мер ответственности.</w:t>
            </w:r>
          </w:p>
          <w:p w:rsidR="00D338CB" w:rsidRPr="002424C0" w:rsidRDefault="00D338CB" w:rsidP="00D10AB4">
            <w:pPr>
              <w:ind w:firstLine="34"/>
            </w:pPr>
            <w:r w:rsidRPr="002424C0"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lastRenderedPageBreak/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>постоянно</w:t>
            </w:r>
          </w:p>
        </w:tc>
      </w:tr>
      <w:tr w:rsidR="00D338CB" w:rsidRPr="002424C0" w:rsidTr="00D10AB4">
        <w:tc>
          <w:tcPr>
            <w:tcW w:w="622" w:type="dxa"/>
          </w:tcPr>
          <w:p w:rsidR="00D338CB" w:rsidRPr="002424C0" w:rsidRDefault="00D338CB" w:rsidP="00D10AB4">
            <w:r w:rsidRPr="002424C0">
              <w:lastRenderedPageBreak/>
              <w:t>3</w:t>
            </w:r>
          </w:p>
        </w:tc>
        <w:tc>
          <w:tcPr>
            <w:tcW w:w="1896" w:type="dxa"/>
          </w:tcPr>
          <w:p w:rsidR="00D338CB" w:rsidRPr="002424C0" w:rsidRDefault="00D338CB" w:rsidP="00D10AB4">
            <w:r w:rsidRPr="002424C0">
              <w:t>Объявление предостережения</w:t>
            </w:r>
          </w:p>
        </w:tc>
        <w:tc>
          <w:tcPr>
            <w:tcW w:w="3686" w:type="dxa"/>
          </w:tcPr>
          <w:p w:rsidR="00D338CB" w:rsidRPr="002424C0" w:rsidRDefault="00D338CB" w:rsidP="00D10AB4">
            <w:pPr>
              <w:autoSpaceDE w:val="0"/>
              <w:autoSpaceDN w:val="0"/>
              <w:adjustRightInd w:val="0"/>
              <w:ind w:firstLine="34"/>
            </w:pPr>
            <w:proofErr w:type="gramStart"/>
            <w:r w:rsidRPr="002424C0">
              <w:t xml:space="preserve">При наличии у Управления ЖКХ и Архитектуры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Отдел в соответствии со </w:t>
            </w:r>
            <w:hyperlink r:id="rId10" w:history="1">
              <w:r w:rsidRPr="002424C0">
                <w:t>статьей 49</w:t>
              </w:r>
            </w:hyperlink>
            <w:r w:rsidRPr="002424C0"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 уведомить об этом в установленный</w:t>
            </w:r>
            <w:proofErr w:type="gramEnd"/>
            <w:r w:rsidRPr="002424C0">
              <w:t xml:space="preserve"> в таком предостережении срок.</w:t>
            </w:r>
          </w:p>
          <w:p w:rsidR="00D338CB" w:rsidRPr="002424C0" w:rsidRDefault="00D338CB" w:rsidP="00D10AB4">
            <w:pPr>
              <w:autoSpaceDE w:val="0"/>
              <w:autoSpaceDN w:val="0"/>
              <w:adjustRightInd w:val="0"/>
              <w:ind w:firstLine="34"/>
            </w:pPr>
            <w:r w:rsidRPr="002424C0">
              <w:t xml:space="preserve">В предостережении о недопустимости нарушения обязательных </w:t>
            </w:r>
            <w:proofErr w:type="gramStart"/>
            <w:r w:rsidRPr="002424C0">
              <w:t>требований</w:t>
            </w:r>
            <w:proofErr w:type="gramEnd"/>
            <w:r w:rsidRPr="002424C0">
              <w:t xml:space="preserve"> в том числе указывается:</w:t>
            </w:r>
          </w:p>
          <w:p w:rsidR="00D338CB" w:rsidRPr="002424C0" w:rsidRDefault="00D338CB" w:rsidP="00D10AB4">
            <w:pPr>
              <w:autoSpaceDE w:val="0"/>
              <w:autoSpaceDN w:val="0"/>
              <w:adjustRightInd w:val="0"/>
              <w:ind w:firstLine="34"/>
            </w:pPr>
            <w:r w:rsidRPr="002424C0">
              <w:t xml:space="preserve">а) наименование юридического лица, адрес его места нахождения, либо фамилия, имя, отчество (при наличии) индивидуального предпринимателя или </w:t>
            </w:r>
            <w:r w:rsidRPr="002424C0">
              <w:lastRenderedPageBreak/>
              <w:t>физического лица, адрес места жительства;</w:t>
            </w:r>
          </w:p>
          <w:p w:rsidR="00D338CB" w:rsidRPr="002424C0" w:rsidRDefault="00D338CB" w:rsidP="00D10AB4">
            <w:pPr>
              <w:autoSpaceDE w:val="0"/>
              <w:autoSpaceDN w:val="0"/>
              <w:adjustRightInd w:val="0"/>
              <w:ind w:firstLine="34"/>
            </w:pPr>
            <w:r w:rsidRPr="002424C0"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D338CB" w:rsidRPr="002424C0" w:rsidRDefault="00D338CB" w:rsidP="00D10AB4"/>
        </w:tc>
        <w:tc>
          <w:tcPr>
            <w:tcW w:w="2126" w:type="dxa"/>
          </w:tcPr>
          <w:p w:rsidR="00D338CB" w:rsidRPr="002424C0" w:rsidRDefault="00D338CB" w:rsidP="00D10AB4">
            <w:r w:rsidRPr="002424C0">
              <w:lastRenderedPageBreak/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>постоянно</w:t>
            </w:r>
          </w:p>
        </w:tc>
      </w:tr>
    </w:tbl>
    <w:p w:rsidR="00D338CB" w:rsidRPr="002424C0" w:rsidRDefault="00D338CB" w:rsidP="00D338CB">
      <w:pPr>
        <w:autoSpaceDE w:val="0"/>
        <w:autoSpaceDN w:val="0"/>
        <w:jc w:val="right"/>
      </w:pPr>
    </w:p>
    <w:p w:rsidR="00D338CB" w:rsidRPr="002424C0" w:rsidRDefault="00D338CB" w:rsidP="00D338CB">
      <w:pPr>
        <w:autoSpaceDE w:val="0"/>
        <w:autoSpaceDN w:val="0"/>
        <w:jc w:val="center"/>
        <w:rPr>
          <w:b/>
        </w:rPr>
      </w:pPr>
      <w:r w:rsidRPr="002424C0">
        <w:rPr>
          <w:b/>
        </w:rPr>
        <w:t xml:space="preserve">Раздел IV. Показатели результативности и эффективности </w:t>
      </w:r>
      <w:proofErr w:type="gramStart"/>
      <w:r w:rsidRPr="002424C0">
        <w:rPr>
          <w:b/>
        </w:rPr>
        <w:t>программы профилактики рисков причинения вреда</w:t>
      </w:r>
      <w:proofErr w:type="gramEnd"/>
    </w:p>
    <w:p w:rsidR="00D338CB" w:rsidRPr="002424C0" w:rsidRDefault="00D338CB" w:rsidP="00D338CB">
      <w:pPr>
        <w:ind w:firstLine="709"/>
      </w:pPr>
    </w:p>
    <w:p w:rsidR="00D338CB" w:rsidRPr="002424C0" w:rsidRDefault="00D338CB" w:rsidP="00D338CB">
      <w:pPr>
        <w:ind w:firstLine="709"/>
        <w:jc w:val="both"/>
      </w:pPr>
      <w:r w:rsidRPr="002424C0">
        <w:t>Отдельное финансирование реализации мероприятий настоящей Программы не предусмотрено.</w:t>
      </w:r>
    </w:p>
    <w:p w:rsidR="00D338CB" w:rsidRPr="002424C0" w:rsidRDefault="00D338CB" w:rsidP="00D338CB">
      <w:pPr>
        <w:ind w:firstLine="709"/>
        <w:jc w:val="both"/>
      </w:pPr>
      <w:r w:rsidRPr="002424C0">
        <w:t xml:space="preserve">Текущее управление и </w:t>
      </w:r>
      <w:proofErr w:type="gramStart"/>
      <w:r w:rsidRPr="002424C0">
        <w:t>контроль за</w:t>
      </w:r>
      <w:proofErr w:type="gramEnd"/>
      <w:r w:rsidRPr="002424C0">
        <w:t xml:space="preserve"> ходом реализации Программы осуществляется администрацией городского округа город Шахунья Нижегородской области в лице заместителя главы администрации городского округа город Шахунья Нижегородской области. 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D338CB" w:rsidRPr="002424C0" w:rsidRDefault="00D338CB" w:rsidP="00D338CB">
      <w:pPr>
        <w:jc w:val="right"/>
      </w:pPr>
      <w:r w:rsidRPr="002424C0">
        <w:t>Таблица № 2</w:t>
      </w:r>
    </w:p>
    <w:p w:rsidR="00D338CB" w:rsidRPr="002424C0" w:rsidRDefault="00D338CB" w:rsidP="00D338CB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"/>
        <w:gridCol w:w="2759"/>
        <w:gridCol w:w="2443"/>
        <w:gridCol w:w="1848"/>
        <w:gridCol w:w="1761"/>
      </w:tblGrid>
      <w:tr w:rsidR="00D338CB" w:rsidRPr="002424C0" w:rsidTr="00D10AB4">
        <w:tc>
          <w:tcPr>
            <w:tcW w:w="760" w:type="dxa"/>
          </w:tcPr>
          <w:p w:rsidR="00D338CB" w:rsidRPr="002424C0" w:rsidRDefault="00D338CB" w:rsidP="00D10AB4">
            <w:pPr>
              <w:jc w:val="center"/>
            </w:pPr>
            <w:r w:rsidRPr="002424C0">
              <w:t xml:space="preserve">№ </w:t>
            </w:r>
            <w:proofErr w:type="gramStart"/>
            <w:r w:rsidRPr="002424C0">
              <w:t>п</w:t>
            </w:r>
            <w:proofErr w:type="gramEnd"/>
            <w:r w:rsidRPr="002424C0">
              <w:t>/п</w:t>
            </w:r>
          </w:p>
        </w:tc>
        <w:tc>
          <w:tcPr>
            <w:tcW w:w="2759" w:type="dxa"/>
          </w:tcPr>
          <w:p w:rsidR="00D338CB" w:rsidRPr="002424C0" w:rsidRDefault="00D338CB" w:rsidP="00D10AB4">
            <w:pPr>
              <w:jc w:val="center"/>
            </w:pPr>
            <w:r w:rsidRPr="002424C0">
              <w:t>Ф.И.О</w:t>
            </w:r>
          </w:p>
        </w:tc>
        <w:tc>
          <w:tcPr>
            <w:tcW w:w="2443" w:type="dxa"/>
          </w:tcPr>
          <w:p w:rsidR="00D338CB" w:rsidRPr="002424C0" w:rsidRDefault="00D338CB" w:rsidP="00D10AB4">
            <w:pPr>
              <w:jc w:val="center"/>
            </w:pPr>
            <w:r w:rsidRPr="002424C0">
              <w:t>должность</w:t>
            </w:r>
          </w:p>
        </w:tc>
        <w:tc>
          <w:tcPr>
            <w:tcW w:w="1848" w:type="dxa"/>
          </w:tcPr>
          <w:p w:rsidR="00D338CB" w:rsidRPr="002424C0" w:rsidRDefault="00D338CB" w:rsidP="00D10AB4">
            <w:pPr>
              <w:jc w:val="center"/>
            </w:pPr>
            <w:r w:rsidRPr="002424C0">
              <w:t>функции</w:t>
            </w:r>
          </w:p>
        </w:tc>
        <w:tc>
          <w:tcPr>
            <w:tcW w:w="1761" w:type="dxa"/>
          </w:tcPr>
          <w:p w:rsidR="00D338CB" w:rsidRPr="002424C0" w:rsidRDefault="00D338CB" w:rsidP="00D10AB4">
            <w:pPr>
              <w:jc w:val="center"/>
            </w:pPr>
            <w:r w:rsidRPr="002424C0">
              <w:t>контакты</w:t>
            </w:r>
          </w:p>
        </w:tc>
      </w:tr>
      <w:tr w:rsidR="00D338CB" w:rsidRPr="002424C0" w:rsidTr="00D10AB4">
        <w:tc>
          <w:tcPr>
            <w:tcW w:w="760" w:type="dxa"/>
          </w:tcPr>
          <w:p w:rsidR="00D338CB" w:rsidRPr="002424C0" w:rsidRDefault="00D338CB" w:rsidP="00D10AB4">
            <w:pPr>
              <w:jc w:val="center"/>
            </w:pPr>
            <w:r w:rsidRPr="002424C0">
              <w:t>1</w:t>
            </w:r>
          </w:p>
        </w:tc>
        <w:tc>
          <w:tcPr>
            <w:tcW w:w="2759" w:type="dxa"/>
          </w:tcPr>
          <w:p w:rsidR="00D338CB" w:rsidRPr="002424C0" w:rsidRDefault="00D338CB" w:rsidP="00D10AB4">
            <w:pPr>
              <w:jc w:val="center"/>
            </w:pPr>
            <w:r w:rsidRPr="002424C0">
              <w:t>Касьянов Юрий Аркадьевич</w:t>
            </w:r>
          </w:p>
        </w:tc>
        <w:tc>
          <w:tcPr>
            <w:tcW w:w="2443" w:type="dxa"/>
          </w:tcPr>
          <w:p w:rsidR="00D338CB" w:rsidRPr="002424C0" w:rsidRDefault="00D338CB" w:rsidP="00D10AB4">
            <w:pPr>
              <w:jc w:val="center"/>
            </w:pPr>
            <w:r w:rsidRPr="002424C0">
              <w:t>Начальник сектора 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>
            <w:pPr>
              <w:jc w:val="center"/>
            </w:pPr>
          </w:p>
        </w:tc>
        <w:tc>
          <w:tcPr>
            <w:tcW w:w="1848" w:type="dxa"/>
          </w:tcPr>
          <w:p w:rsidR="00D338CB" w:rsidRPr="002424C0" w:rsidRDefault="00D338CB" w:rsidP="00D10AB4">
            <w:pPr>
              <w:jc w:val="center"/>
            </w:pPr>
            <w:r w:rsidRPr="002424C0">
              <w:t>Организация и проведение мероприятий Программы по пунктам 1, 2 и 3 таблицы 1</w:t>
            </w:r>
          </w:p>
        </w:tc>
        <w:tc>
          <w:tcPr>
            <w:tcW w:w="1761" w:type="dxa"/>
          </w:tcPr>
          <w:p w:rsidR="00D338CB" w:rsidRPr="002424C0" w:rsidRDefault="00D338CB" w:rsidP="00D10AB4">
            <w:pPr>
              <w:jc w:val="center"/>
            </w:pPr>
            <w:r w:rsidRPr="002424C0">
              <w:t>8 831 52 2-71-90</w:t>
            </w:r>
          </w:p>
        </w:tc>
      </w:tr>
      <w:tr w:rsidR="00D338CB" w:rsidRPr="002424C0" w:rsidTr="00D10AB4">
        <w:tc>
          <w:tcPr>
            <w:tcW w:w="760" w:type="dxa"/>
          </w:tcPr>
          <w:p w:rsidR="00D338CB" w:rsidRPr="002424C0" w:rsidRDefault="00D338CB" w:rsidP="00D10AB4">
            <w:pPr>
              <w:jc w:val="center"/>
            </w:pPr>
            <w:r w:rsidRPr="002424C0">
              <w:t>2</w:t>
            </w:r>
          </w:p>
        </w:tc>
        <w:tc>
          <w:tcPr>
            <w:tcW w:w="2759" w:type="dxa"/>
          </w:tcPr>
          <w:p w:rsidR="00D338CB" w:rsidRPr="002424C0" w:rsidRDefault="00D338CB" w:rsidP="00D10AB4">
            <w:pPr>
              <w:jc w:val="center"/>
            </w:pPr>
            <w:r w:rsidRPr="002424C0">
              <w:t>Ануфриев Дмитрий Васильевич</w:t>
            </w:r>
          </w:p>
        </w:tc>
        <w:tc>
          <w:tcPr>
            <w:tcW w:w="2443" w:type="dxa"/>
          </w:tcPr>
          <w:p w:rsidR="00D338CB" w:rsidRPr="002424C0" w:rsidRDefault="00D338CB" w:rsidP="00D10AB4">
            <w:pPr>
              <w:jc w:val="center"/>
            </w:pPr>
            <w:r>
              <w:t xml:space="preserve">Ведущий специалист </w:t>
            </w:r>
            <w:r w:rsidRPr="002424C0">
              <w:t xml:space="preserve">Управления промышленности, транспорта, связи, ЖКХ, энергетики и архитектурной деятельности администрации городского округа город Шахунья </w:t>
            </w:r>
            <w:r w:rsidRPr="002424C0">
              <w:lastRenderedPageBreak/>
              <w:t>Нижегородской области</w:t>
            </w:r>
          </w:p>
        </w:tc>
        <w:tc>
          <w:tcPr>
            <w:tcW w:w="1848" w:type="dxa"/>
          </w:tcPr>
          <w:p w:rsidR="00D338CB" w:rsidRPr="002424C0" w:rsidRDefault="00D338CB" w:rsidP="00D10AB4">
            <w:pPr>
              <w:jc w:val="center"/>
            </w:pPr>
            <w:r w:rsidRPr="002424C0">
              <w:lastRenderedPageBreak/>
              <w:t>Организация и проведение мероприятий Программы по пунктам 1, 2 и 3 таблицы 1</w:t>
            </w:r>
          </w:p>
        </w:tc>
        <w:tc>
          <w:tcPr>
            <w:tcW w:w="1761" w:type="dxa"/>
          </w:tcPr>
          <w:p w:rsidR="00D338CB" w:rsidRPr="002424C0" w:rsidRDefault="00D338CB" w:rsidP="00D10AB4">
            <w:pPr>
              <w:jc w:val="center"/>
            </w:pPr>
            <w:r w:rsidRPr="002424C0">
              <w:t>8 831 52 2-71-90</w:t>
            </w:r>
          </w:p>
        </w:tc>
      </w:tr>
    </w:tbl>
    <w:p w:rsidR="00D338CB" w:rsidRDefault="00D338CB" w:rsidP="00D338CB">
      <w:pPr>
        <w:ind w:firstLine="709"/>
        <w:jc w:val="both"/>
      </w:pPr>
    </w:p>
    <w:p w:rsidR="00D338CB" w:rsidRPr="002424C0" w:rsidRDefault="00D338CB" w:rsidP="00D338CB">
      <w:pPr>
        <w:ind w:firstLine="709"/>
        <w:jc w:val="both"/>
      </w:pPr>
      <w:r w:rsidRPr="002424C0">
        <w:t>Мониторинг реализации Программы осуществляется на регулярной основе.</w:t>
      </w:r>
    </w:p>
    <w:p w:rsidR="00D338CB" w:rsidRPr="002424C0" w:rsidRDefault="00D338CB" w:rsidP="00D338CB">
      <w:pPr>
        <w:ind w:firstLine="709"/>
        <w:jc w:val="both"/>
      </w:pPr>
      <w:r w:rsidRPr="002424C0">
        <w:t>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на официальном сайте администрации городского округа город Шахунья Нижегородской области в информационно-коммуникационной сети «Интернет».</w:t>
      </w:r>
    </w:p>
    <w:p w:rsidR="00D338CB" w:rsidRPr="002424C0" w:rsidRDefault="00D338CB" w:rsidP="00D338CB">
      <w:pPr>
        <w:ind w:firstLine="709"/>
        <w:jc w:val="both"/>
      </w:pPr>
      <w:r w:rsidRPr="002424C0">
        <w:t>Ожидаемый результат Программы - снижение количества выявленных нарушений обязательных требований жилищного законодательства при увеличении количества и качества проводимых профилактических мероприятий.</w:t>
      </w:r>
    </w:p>
    <w:p w:rsidR="00D338CB" w:rsidRPr="002424C0" w:rsidRDefault="00D338CB" w:rsidP="00D338CB">
      <w:pPr>
        <w:ind w:firstLine="709"/>
        <w:jc w:val="both"/>
      </w:pPr>
      <w:r w:rsidRPr="002424C0">
        <w:t>Комплексная реализация мероприятий Программы должна способствовать максимальному достижению общественно значимых результатов - снижению причиняемого контролируемыми субъектами вреда (ущерба) охраняемым законом ценностям при проведении профилактических мероприятий.</w:t>
      </w:r>
    </w:p>
    <w:p w:rsidR="00D338CB" w:rsidRPr="002424C0" w:rsidRDefault="00D338CB" w:rsidP="00D338CB">
      <w:pPr>
        <w:ind w:firstLine="709"/>
        <w:jc w:val="both"/>
      </w:pPr>
      <w:r w:rsidRPr="002424C0">
        <w:t>Показатели результативности мероприятий Программы по муниципальному жилищному контролю:</w:t>
      </w:r>
    </w:p>
    <w:p w:rsidR="00D338CB" w:rsidRPr="002424C0" w:rsidRDefault="00D338CB" w:rsidP="00D338CB">
      <w:pPr>
        <w:ind w:firstLine="709"/>
        <w:jc w:val="both"/>
      </w:pPr>
      <w:r w:rsidRPr="002424C0">
        <w:t xml:space="preserve">1) Абсолютное отклонение количества выявленных нарушений требований жилищного законодательства, (ед.). </w:t>
      </w:r>
    </w:p>
    <w:p w:rsidR="00D338CB" w:rsidRPr="002424C0" w:rsidRDefault="00D338CB" w:rsidP="00D338CB">
      <w:pPr>
        <w:ind w:firstLine="709"/>
        <w:jc w:val="both"/>
      </w:pPr>
      <w:r w:rsidRPr="002424C0">
        <w:t xml:space="preserve">А = </w:t>
      </w:r>
      <w:proofErr w:type="spellStart"/>
      <w:r w:rsidRPr="002424C0">
        <w:t>Ч</w:t>
      </w:r>
      <w:r w:rsidRPr="002424C0">
        <w:rPr>
          <w:vertAlign w:val="subscript"/>
        </w:rPr>
        <w:t>отч</w:t>
      </w:r>
      <w:proofErr w:type="spellEnd"/>
      <w:r w:rsidRPr="002424C0">
        <w:rPr>
          <w:vertAlign w:val="subscript"/>
        </w:rPr>
        <w:t>. г.</w:t>
      </w:r>
      <w:r w:rsidRPr="002424C0">
        <w:t xml:space="preserve"> - </w:t>
      </w:r>
      <w:proofErr w:type="spellStart"/>
      <w:r w:rsidRPr="002424C0">
        <w:t>Ч</w:t>
      </w:r>
      <w:r w:rsidRPr="002424C0">
        <w:rPr>
          <w:vertAlign w:val="subscript"/>
        </w:rPr>
        <w:t>пр</w:t>
      </w:r>
      <w:proofErr w:type="gramStart"/>
      <w:r w:rsidRPr="002424C0">
        <w:rPr>
          <w:vertAlign w:val="subscript"/>
        </w:rPr>
        <w:t>.г</w:t>
      </w:r>
      <w:proofErr w:type="spellEnd"/>
      <w:proofErr w:type="gramEnd"/>
    </w:p>
    <w:p w:rsidR="00D338CB" w:rsidRPr="002424C0" w:rsidRDefault="00D338CB" w:rsidP="00D338CB">
      <w:pPr>
        <w:ind w:firstLine="709"/>
        <w:jc w:val="both"/>
      </w:pPr>
      <w:r w:rsidRPr="002424C0">
        <w:t>где:</w:t>
      </w:r>
    </w:p>
    <w:p w:rsidR="00D338CB" w:rsidRPr="002424C0" w:rsidRDefault="00D338CB" w:rsidP="00D338CB">
      <w:pPr>
        <w:ind w:firstLine="709"/>
        <w:jc w:val="both"/>
      </w:pPr>
      <w:r w:rsidRPr="002424C0">
        <w:t>А - абсолютное отклонение количества выявленных нарушений;</w:t>
      </w:r>
    </w:p>
    <w:p w:rsidR="00D338CB" w:rsidRPr="002424C0" w:rsidRDefault="00D338CB" w:rsidP="00D338CB">
      <w:pPr>
        <w:ind w:firstLine="709"/>
        <w:jc w:val="both"/>
      </w:pPr>
      <w:proofErr w:type="spellStart"/>
      <w:r w:rsidRPr="002424C0">
        <w:t>Ч</w:t>
      </w:r>
      <w:r w:rsidRPr="002424C0">
        <w:rPr>
          <w:vertAlign w:val="subscript"/>
        </w:rPr>
        <w:t>отч.г</w:t>
      </w:r>
      <w:proofErr w:type="spellEnd"/>
      <w:r w:rsidRPr="002424C0">
        <w:rPr>
          <w:vertAlign w:val="subscript"/>
        </w:rPr>
        <w:t>.</w:t>
      </w:r>
      <w:r w:rsidRPr="002424C0">
        <w:t xml:space="preserve"> - количество выявленных нарушений требований жилищного законодательства в 2022 году;</w:t>
      </w:r>
    </w:p>
    <w:p w:rsidR="00D338CB" w:rsidRPr="002424C0" w:rsidRDefault="00D338CB" w:rsidP="00D338CB">
      <w:pPr>
        <w:ind w:firstLine="709"/>
        <w:jc w:val="both"/>
      </w:pPr>
      <w:proofErr w:type="spellStart"/>
      <w:r w:rsidRPr="002424C0">
        <w:t>Ч</w:t>
      </w:r>
      <w:r w:rsidRPr="002424C0">
        <w:rPr>
          <w:vertAlign w:val="subscript"/>
        </w:rPr>
        <w:t>пр</w:t>
      </w:r>
      <w:proofErr w:type="gramStart"/>
      <w:r w:rsidRPr="002424C0">
        <w:rPr>
          <w:vertAlign w:val="subscript"/>
        </w:rPr>
        <w:t>.г</w:t>
      </w:r>
      <w:proofErr w:type="spellEnd"/>
      <w:proofErr w:type="gramEnd"/>
      <w:r w:rsidRPr="002424C0">
        <w:t xml:space="preserve"> - количество выявленных нарушений требований жилищного законодательства в 2021 году.</w:t>
      </w:r>
    </w:p>
    <w:p w:rsidR="00D338CB" w:rsidRPr="002424C0" w:rsidRDefault="00D338CB" w:rsidP="00D338CB">
      <w:pPr>
        <w:ind w:firstLine="709"/>
        <w:jc w:val="both"/>
      </w:pPr>
      <w:r w:rsidRPr="002424C0">
        <w:t>Эффективным считается отрицательное значение показателя А.</w:t>
      </w:r>
    </w:p>
    <w:p w:rsidR="00D338CB" w:rsidRPr="002424C0" w:rsidRDefault="00D338CB" w:rsidP="00D338CB">
      <w:pPr>
        <w:ind w:firstLine="709"/>
        <w:jc w:val="both"/>
      </w:pPr>
      <w:r w:rsidRPr="002424C0">
        <w:t>2) Абсолютное отклонение количества проведенных профилактических мероприятий, ед.</w:t>
      </w:r>
    </w:p>
    <w:p w:rsidR="00D338CB" w:rsidRPr="002424C0" w:rsidRDefault="00D338CB" w:rsidP="00D338CB">
      <w:pPr>
        <w:ind w:firstLine="709"/>
        <w:jc w:val="both"/>
      </w:pPr>
      <w:r w:rsidRPr="002424C0">
        <w:t xml:space="preserve">Б = </w:t>
      </w:r>
      <w:proofErr w:type="spellStart"/>
      <w:r w:rsidRPr="002424C0">
        <w:t>Н</w:t>
      </w:r>
      <w:r w:rsidRPr="002424C0">
        <w:rPr>
          <w:vertAlign w:val="subscript"/>
        </w:rPr>
        <w:t>отч</w:t>
      </w:r>
      <w:proofErr w:type="spellEnd"/>
      <w:r w:rsidRPr="002424C0">
        <w:rPr>
          <w:vertAlign w:val="subscript"/>
        </w:rPr>
        <w:t>. г.</w:t>
      </w:r>
      <w:r w:rsidRPr="002424C0">
        <w:t xml:space="preserve"> - </w:t>
      </w:r>
      <w:proofErr w:type="spellStart"/>
      <w:r w:rsidRPr="002424C0">
        <w:t>Н</w:t>
      </w:r>
      <w:r w:rsidRPr="002424C0">
        <w:rPr>
          <w:vertAlign w:val="subscript"/>
        </w:rPr>
        <w:t>пр</w:t>
      </w:r>
      <w:proofErr w:type="gramStart"/>
      <w:r w:rsidRPr="002424C0">
        <w:rPr>
          <w:vertAlign w:val="subscript"/>
        </w:rPr>
        <w:t>.г</w:t>
      </w:r>
      <w:proofErr w:type="spellEnd"/>
      <w:proofErr w:type="gramEnd"/>
    </w:p>
    <w:p w:rsidR="00D338CB" w:rsidRPr="002424C0" w:rsidRDefault="00D338CB" w:rsidP="00D338CB">
      <w:pPr>
        <w:ind w:firstLine="709"/>
        <w:jc w:val="both"/>
      </w:pPr>
      <w:r w:rsidRPr="002424C0">
        <w:t>где:</w:t>
      </w:r>
    </w:p>
    <w:p w:rsidR="00D338CB" w:rsidRPr="002424C0" w:rsidRDefault="00D338CB" w:rsidP="00D338CB">
      <w:pPr>
        <w:ind w:firstLine="709"/>
        <w:jc w:val="both"/>
      </w:pPr>
      <w:proofErr w:type="gramStart"/>
      <w:r w:rsidRPr="002424C0">
        <w:t>Б</w:t>
      </w:r>
      <w:proofErr w:type="gramEnd"/>
      <w:r w:rsidRPr="002424C0">
        <w:t xml:space="preserve"> - абсолютное отклонение количества проведенных профилактических мероприятий;</w:t>
      </w:r>
    </w:p>
    <w:p w:rsidR="00D338CB" w:rsidRPr="002424C0" w:rsidRDefault="00D338CB" w:rsidP="00D338CB">
      <w:pPr>
        <w:ind w:firstLine="709"/>
        <w:jc w:val="both"/>
      </w:pPr>
      <w:proofErr w:type="spellStart"/>
      <w:r w:rsidRPr="002424C0">
        <w:t>Н</w:t>
      </w:r>
      <w:r w:rsidRPr="002424C0">
        <w:rPr>
          <w:vertAlign w:val="subscript"/>
        </w:rPr>
        <w:t>отч</w:t>
      </w:r>
      <w:proofErr w:type="spellEnd"/>
      <w:r w:rsidRPr="002424C0">
        <w:rPr>
          <w:vertAlign w:val="subscript"/>
        </w:rPr>
        <w:t>. г.</w:t>
      </w:r>
      <w:r w:rsidRPr="002424C0">
        <w:t xml:space="preserve"> - количество проведенных профилактических мероприятий в 2022 году;</w:t>
      </w:r>
    </w:p>
    <w:p w:rsidR="00D338CB" w:rsidRPr="002424C0" w:rsidRDefault="00D338CB" w:rsidP="00D338CB">
      <w:pPr>
        <w:ind w:firstLine="709"/>
        <w:jc w:val="both"/>
      </w:pPr>
      <w:proofErr w:type="spellStart"/>
      <w:r w:rsidRPr="002424C0">
        <w:t>Н</w:t>
      </w:r>
      <w:r w:rsidRPr="002424C0">
        <w:rPr>
          <w:vertAlign w:val="subscript"/>
        </w:rPr>
        <w:t>пр</w:t>
      </w:r>
      <w:proofErr w:type="gramStart"/>
      <w:r w:rsidRPr="002424C0">
        <w:rPr>
          <w:vertAlign w:val="subscript"/>
        </w:rPr>
        <w:t>.г</w:t>
      </w:r>
      <w:proofErr w:type="spellEnd"/>
      <w:proofErr w:type="gramEnd"/>
      <w:r w:rsidRPr="002424C0">
        <w:t xml:space="preserve"> - количество проведенных профилактических мероприятий в 2021 году.</w:t>
      </w:r>
    </w:p>
    <w:p w:rsidR="00D338CB" w:rsidRPr="002424C0" w:rsidRDefault="00D338CB" w:rsidP="00D338CB">
      <w:pPr>
        <w:ind w:firstLine="709"/>
        <w:jc w:val="both"/>
      </w:pPr>
      <w:r w:rsidRPr="002424C0">
        <w:t>Эффективным считается положительное значение показателя Б.</w:t>
      </w:r>
    </w:p>
    <w:p w:rsidR="00D338CB" w:rsidRPr="002424C0" w:rsidRDefault="00D338CB" w:rsidP="00D338CB">
      <w:pPr>
        <w:ind w:firstLine="709"/>
        <w:jc w:val="both"/>
      </w:pPr>
      <w:r w:rsidRPr="002424C0">
        <w:t>3) Доля профилактических мероприятий в объеме контрольно-надзорных мероприятий</w:t>
      </w:r>
      <w:proofErr w:type="gramStart"/>
      <w:r w:rsidRPr="002424C0">
        <w:t>, (%).</w:t>
      </w:r>
      <w:proofErr w:type="gramEnd"/>
    </w:p>
    <w:p w:rsidR="00D338CB" w:rsidRPr="002424C0" w:rsidRDefault="00D338CB" w:rsidP="00D338CB">
      <w:pPr>
        <w:ind w:firstLine="709"/>
        <w:jc w:val="both"/>
      </w:pPr>
      <w:r w:rsidRPr="002424C0">
        <w:t xml:space="preserve">Д = </w:t>
      </w:r>
      <w:proofErr w:type="gramStart"/>
      <w:r w:rsidRPr="002424C0">
        <w:t>П</w:t>
      </w:r>
      <w:proofErr w:type="gramEnd"/>
      <w:r w:rsidRPr="002424C0">
        <w:t xml:space="preserve"> / К * 100</w:t>
      </w:r>
    </w:p>
    <w:p w:rsidR="00D338CB" w:rsidRPr="002424C0" w:rsidRDefault="00D338CB" w:rsidP="00D338CB">
      <w:pPr>
        <w:ind w:firstLine="709"/>
        <w:jc w:val="both"/>
      </w:pPr>
      <w:r w:rsidRPr="002424C0">
        <w:t>где:</w:t>
      </w:r>
    </w:p>
    <w:p w:rsidR="00D338CB" w:rsidRPr="002424C0" w:rsidRDefault="00D338CB" w:rsidP="00D338CB">
      <w:pPr>
        <w:ind w:firstLine="709"/>
        <w:jc w:val="both"/>
      </w:pPr>
      <w:r w:rsidRPr="002424C0">
        <w:t>Д - доля профилактических мероприятий в объеме контрольно-надзорных мероприятий;</w:t>
      </w:r>
    </w:p>
    <w:p w:rsidR="00D338CB" w:rsidRPr="002424C0" w:rsidRDefault="00D338CB" w:rsidP="00D338CB">
      <w:pPr>
        <w:ind w:firstLine="709"/>
        <w:jc w:val="both"/>
      </w:pPr>
      <w:proofErr w:type="gramStart"/>
      <w:r w:rsidRPr="002424C0">
        <w:t>П</w:t>
      </w:r>
      <w:proofErr w:type="gramEnd"/>
      <w:r w:rsidRPr="002424C0">
        <w:t xml:space="preserve"> - количество профилактических мероприятий проведенных в 2022 году;</w:t>
      </w:r>
    </w:p>
    <w:p w:rsidR="00D338CB" w:rsidRPr="002424C0" w:rsidRDefault="00D338CB" w:rsidP="00D338CB">
      <w:pPr>
        <w:ind w:firstLine="709"/>
        <w:jc w:val="both"/>
      </w:pPr>
      <w:r w:rsidRPr="002424C0">
        <w:t>К - общее количество контрольных мероприятий, осуществленных органом контроля в 2022 году.</w:t>
      </w:r>
    </w:p>
    <w:p w:rsidR="00D338CB" w:rsidRPr="002424C0" w:rsidRDefault="00D338CB" w:rsidP="00D338CB">
      <w:pPr>
        <w:ind w:firstLine="709"/>
        <w:jc w:val="both"/>
      </w:pPr>
      <w:r w:rsidRPr="002424C0">
        <w:t>Эффективным считается значение показателя</w:t>
      </w:r>
      <w:proofErr w:type="gramStart"/>
      <w:r w:rsidRPr="002424C0">
        <w:t xml:space="preserve"> Д</w:t>
      </w:r>
      <w:proofErr w:type="gramEnd"/>
      <w:r w:rsidRPr="002424C0">
        <w:t xml:space="preserve"> большее или равное 75.</w:t>
      </w:r>
    </w:p>
    <w:p w:rsidR="00D338CB" w:rsidRPr="002424C0" w:rsidRDefault="00D338CB" w:rsidP="00D338CB">
      <w:pPr>
        <w:ind w:firstLine="709"/>
        <w:jc w:val="both"/>
      </w:pPr>
      <w:r w:rsidRPr="002424C0">
        <w:t>4) Наличие у контрольного органа сведений о причинении вреда (ущерба) или об угрозе причинения вреда (ущерба) охраняемым законом ценностям, (да/нет).</w:t>
      </w:r>
    </w:p>
    <w:p w:rsidR="00D338CB" w:rsidRPr="002424C0" w:rsidRDefault="00D338CB" w:rsidP="00D338CB">
      <w:pPr>
        <w:ind w:firstLine="709"/>
        <w:jc w:val="both"/>
      </w:pPr>
      <w:r w:rsidRPr="002424C0">
        <w:t xml:space="preserve">Эффективным считается </w:t>
      </w:r>
      <w:proofErr w:type="gramStart"/>
      <w:r w:rsidRPr="002424C0">
        <w:t>не поступление</w:t>
      </w:r>
      <w:proofErr w:type="gramEnd"/>
      <w:r w:rsidRPr="002424C0">
        <w:t xml:space="preserve">  в орган контроля вышеуказанных сведений.</w:t>
      </w:r>
    </w:p>
    <w:p w:rsidR="00D338CB" w:rsidRPr="002424C0" w:rsidRDefault="00D338CB" w:rsidP="00D338CB">
      <w:pPr>
        <w:ind w:firstLine="709"/>
        <w:jc w:val="both"/>
      </w:pPr>
      <w:r w:rsidRPr="002424C0"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D338CB" w:rsidRPr="002424C0" w:rsidRDefault="00D338CB" w:rsidP="00D338CB">
      <w:pPr>
        <w:tabs>
          <w:tab w:val="left" w:pos="3365"/>
        </w:tabs>
      </w:pPr>
      <w:r w:rsidRPr="002424C0">
        <w:tab/>
        <w:t>___________________</w:t>
      </w:r>
    </w:p>
    <w:sectPr w:rsidR="00D338CB" w:rsidRPr="002424C0" w:rsidSect="004A682C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59" w:rsidRDefault="00595759">
      <w:r>
        <w:separator/>
      </w:r>
    </w:p>
  </w:endnote>
  <w:endnote w:type="continuationSeparator" w:id="0">
    <w:p w:rsidR="00595759" w:rsidRDefault="0059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59" w:rsidRDefault="00595759">
      <w:r>
        <w:separator/>
      </w:r>
    </w:p>
  </w:footnote>
  <w:footnote w:type="continuationSeparator" w:id="0">
    <w:p w:rsidR="00595759" w:rsidRDefault="0059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26EE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5759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3DA2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3FA9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0BCA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38CB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6E7C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8EE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pple-converted-space">
    <w:name w:val="apple-converted-space"/>
    <w:basedOn w:val="a0"/>
    <w:rsid w:val="00D33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pple-converted-space">
    <w:name w:val="apple-converted-space"/>
    <w:basedOn w:val="a0"/>
    <w:rsid w:val="00D3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A415-405B-4C4B-9A96-F3AEE895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Андриянова Наталья</cp:lastModifiedBy>
  <cp:revision>2</cp:revision>
  <cp:lastPrinted>2021-12-17T07:34:00Z</cp:lastPrinted>
  <dcterms:created xsi:type="dcterms:W3CDTF">2022-09-30T11:56:00Z</dcterms:created>
  <dcterms:modified xsi:type="dcterms:W3CDTF">2022-09-30T11:56:00Z</dcterms:modified>
</cp:coreProperties>
</file>