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jc w:val="center"/>
        <w:tblInd w:w="-432" w:type="dxa"/>
        <w:tblLayout w:type="fixed"/>
        <w:tblLook w:val="000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167F1">
        <w:rPr>
          <w:sz w:val="26"/>
          <w:szCs w:val="26"/>
          <w:u w:val="single"/>
        </w:rPr>
        <w:t>20</w:t>
      </w:r>
      <w:r w:rsidR="00695B1C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="00695B1C">
        <w:rPr>
          <w:sz w:val="26"/>
          <w:szCs w:val="26"/>
        </w:rPr>
        <w:t xml:space="preserve"> </w:t>
      </w:r>
      <w:r w:rsidR="003167F1">
        <w:rPr>
          <w:sz w:val="26"/>
          <w:szCs w:val="26"/>
          <w:u w:val="single"/>
        </w:rPr>
        <w:t>1180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3167F1" w:rsidRPr="00016C8F" w:rsidRDefault="003167F1" w:rsidP="003167F1">
      <w:pPr>
        <w:jc w:val="center"/>
        <w:rPr>
          <w:b/>
          <w:sz w:val="26"/>
          <w:szCs w:val="26"/>
        </w:rPr>
      </w:pPr>
      <w:r w:rsidRPr="00016C8F">
        <w:rPr>
          <w:b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22 мая 2019 года № 555 «Об утверждении </w:t>
      </w:r>
      <w:r w:rsidRPr="00016C8F">
        <w:rPr>
          <w:b/>
          <w:noProof/>
          <w:sz w:val="26"/>
          <w:szCs w:val="26"/>
        </w:rPr>
        <w:t>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</w:p>
    <w:p w:rsidR="003167F1" w:rsidRDefault="003167F1" w:rsidP="003167F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167F1" w:rsidRPr="00016C8F" w:rsidRDefault="003167F1" w:rsidP="003167F1">
      <w:pPr>
        <w:ind w:firstLine="567"/>
        <w:jc w:val="both"/>
        <w:rPr>
          <w:sz w:val="26"/>
          <w:szCs w:val="26"/>
          <w:shd w:val="clear" w:color="auto" w:fill="FFFFFF"/>
        </w:rPr>
      </w:pP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016C8F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016C8F">
        <w:rPr>
          <w:sz w:val="26"/>
          <w:szCs w:val="26"/>
          <w:shd w:val="clear" w:color="auto" w:fill="FFFFFF"/>
        </w:rPr>
        <w:t xml:space="preserve">№131-ФЗ «Об общих принципах организации местного самоуправления в Российской Федерации», </w:t>
      </w:r>
      <w:r w:rsidRPr="00016C8F">
        <w:rPr>
          <w:sz w:val="26"/>
          <w:szCs w:val="26"/>
        </w:rPr>
        <w:t xml:space="preserve">Федеральным Законом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утверждённых постановлением Правительства Российской Федерации от 31.08.2018 № 1039, </w:t>
      </w:r>
      <w:r w:rsidRPr="00016C8F">
        <w:rPr>
          <w:sz w:val="26"/>
          <w:szCs w:val="26"/>
          <w:shd w:val="clear" w:color="auto" w:fill="FFFFFF"/>
        </w:rPr>
        <w:t xml:space="preserve">администрация городского округа город Шахунья Нижегородской области </w:t>
      </w:r>
      <w:r w:rsidRPr="00016C8F">
        <w:rPr>
          <w:b/>
          <w:sz w:val="26"/>
          <w:szCs w:val="26"/>
          <w:shd w:val="clear" w:color="auto" w:fill="FFFFFF"/>
        </w:rPr>
        <w:t>постановляет</w:t>
      </w:r>
      <w:r w:rsidRPr="003167F1">
        <w:rPr>
          <w:b/>
          <w:sz w:val="26"/>
          <w:szCs w:val="26"/>
          <w:shd w:val="clear" w:color="auto" w:fill="FFFFFF"/>
        </w:rPr>
        <w:t>:</w:t>
      </w:r>
    </w:p>
    <w:p w:rsidR="003167F1" w:rsidRDefault="003167F1" w:rsidP="003167F1">
      <w:pPr>
        <w:widowControl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016C8F">
        <w:rPr>
          <w:sz w:val="26"/>
          <w:szCs w:val="26"/>
        </w:rPr>
        <w:t xml:space="preserve">1. Внести в постановление </w:t>
      </w:r>
      <w:r w:rsidRPr="00016C8F">
        <w:rPr>
          <w:color w:val="000000" w:themeColor="text1"/>
          <w:sz w:val="26"/>
          <w:szCs w:val="26"/>
        </w:rPr>
        <w:t>администрации городского округа город Шахунья Нижегородской области от 22 мая 2019 года  № 555 «</w:t>
      </w:r>
      <w:r w:rsidRPr="00016C8F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425623">
        <w:rPr>
          <w:noProof/>
          <w:sz w:val="26"/>
          <w:szCs w:val="26"/>
        </w:rPr>
        <w:t>м</w:t>
      </w:r>
      <w:r w:rsidRPr="00016C8F">
        <w:rPr>
          <w:noProof/>
          <w:sz w:val="26"/>
          <w:szCs w:val="26"/>
        </w:rPr>
        <w:t xml:space="preserve">унальных отходов, расположенных на территории городского округа город Шахунья Нижегородской области», с изменениями </w:t>
      </w:r>
      <w:r>
        <w:rPr>
          <w:noProof/>
          <w:sz w:val="26"/>
          <w:szCs w:val="26"/>
        </w:rPr>
        <w:t>внесенными</w:t>
      </w:r>
      <w:r w:rsidRPr="00016C8F">
        <w:rPr>
          <w:noProof/>
          <w:sz w:val="26"/>
          <w:szCs w:val="26"/>
        </w:rPr>
        <w:t xml:space="preserve"> постановлениями администрации городского округа город Шахунья Нижегородской области: </w:t>
      </w:r>
      <w:r>
        <w:rPr>
          <w:noProof/>
          <w:sz w:val="26"/>
          <w:szCs w:val="26"/>
        </w:rPr>
        <w:t xml:space="preserve">от 05.08.2019 года № 844, </w:t>
      </w:r>
      <w:r w:rsidRPr="00016C8F">
        <w:rPr>
          <w:noProof/>
          <w:sz w:val="26"/>
          <w:szCs w:val="26"/>
        </w:rPr>
        <w:t>от 16.09.2019 года№ 1041;</w:t>
      </w:r>
      <w:r w:rsidR="00695B1C">
        <w:rPr>
          <w:noProof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от 31.10.2019 года</w:t>
      </w:r>
      <w:r w:rsidR="00695B1C">
        <w:rPr>
          <w:bCs/>
          <w:color w:val="000000"/>
          <w:sz w:val="26"/>
          <w:szCs w:val="26"/>
        </w:rPr>
        <w:t xml:space="preserve"> </w:t>
      </w:r>
      <w:r w:rsidRPr="00016C8F">
        <w:rPr>
          <w:noProof/>
          <w:sz w:val="26"/>
          <w:szCs w:val="26"/>
        </w:rPr>
        <w:t>№</w:t>
      </w:r>
      <w:r w:rsidRPr="00016C8F">
        <w:rPr>
          <w:bCs/>
          <w:color w:val="000000"/>
          <w:sz w:val="26"/>
          <w:szCs w:val="26"/>
        </w:rPr>
        <w:t xml:space="preserve"> 1202; от 24.12.2019 года№ 1547; от 10.03.2020 года</w:t>
      </w:r>
      <w:r w:rsidR="00695B1C">
        <w:rPr>
          <w:bCs/>
          <w:color w:val="000000"/>
          <w:sz w:val="26"/>
          <w:szCs w:val="26"/>
        </w:rPr>
        <w:t xml:space="preserve">            </w:t>
      </w:r>
      <w:r w:rsidRPr="00016C8F">
        <w:rPr>
          <w:bCs/>
          <w:color w:val="000000"/>
          <w:sz w:val="26"/>
          <w:szCs w:val="26"/>
        </w:rPr>
        <w:t>№ 228; от 06.07.2020 года</w:t>
      </w:r>
      <w:r w:rsidR="00695B1C"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542; от 23.07.2020 года</w:t>
      </w:r>
      <w:r w:rsidR="00695B1C"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6</w:t>
      </w:r>
      <w:r>
        <w:rPr>
          <w:bCs/>
          <w:color w:val="000000"/>
          <w:sz w:val="26"/>
          <w:szCs w:val="26"/>
        </w:rPr>
        <w:t>2</w:t>
      </w:r>
      <w:r w:rsidRPr="00016C8F">
        <w:rPr>
          <w:bCs/>
          <w:color w:val="000000"/>
          <w:sz w:val="26"/>
          <w:szCs w:val="26"/>
        </w:rPr>
        <w:t>4; от 28.09.2020 года</w:t>
      </w:r>
      <w:r w:rsidR="00695B1C">
        <w:rPr>
          <w:bCs/>
          <w:color w:val="000000"/>
          <w:sz w:val="26"/>
          <w:szCs w:val="26"/>
        </w:rPr>
        <w:t xml:space="preserve"> </w:t>
      </w:r>
      <w:r w:rsidRPr="00016C8F">
        <w:rPr>
          <w:bCs/>
          <w:color w:val="000000"/>
          <w:sz w:val="26"/>
          <w:szCs w:val="26"/>
        </w:rPr>
        <w:t>№ 865,</w:t>
      </w:r>
      <w:r>
        <w:rPr>
          <w:bCs/>
          <w:color w:val="000000"/>
          <w:sz w:val="26"/>
          <w:szCs w:val="26"/>
        </w:rPr>
        <w:t xml:space="preserve"> от</w:t>
      </w:r>
      <w:r w:rsidR="00695B1C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20.02.2021 года № 178, от 15.03.2021 года № 265, следующие </w:t>
      </w:r>
      <w:r w:rsidRPr="00016C8F">
        <w:rPr>
          <w:bCs/>
          <w:color w:val="000000"/>
          <w:sz w:val="26"/>
          <w:szCs w:val="26"/>
        </w:rPr>
        <w:t>изменения</w:t>
      </w:r>
      <w:r>
        <w:rPr>
          <w:bCs/>
          <w:color w:val="000000"/>
          <w:sz w:val="26"/>
          <w:szCs w:val="26"/>
        </w:rPr>
        <w:t>:</w:t>
      </w: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1.1. </w:t>
      </w:r>
      <w:r w:rsidRPr="00016C8F">
        <w:rPr>
          <w:bCs/>
          <w:color w:val="000000"/>
          <w:sz w:val="26"/>
          <w:szCs w:val="26"/>
        </w:rPr>
        <w:t xml:space="preserve">приложение 1 </w:t>
      </w:r>
      <w:r w:rsidRPr="00016C8F">
        <w:rPr>
          <w:sz w:val="26"/>
          <w:szCs w:val="26"/>
        </w:rPr>
        <w:t xml:space="preserve">постановления </w:t>
      </w:r>
      <w:r w:rsidRPr="00016C8F">
        <w:rPr>
          <w:color w:val="000000" w:themeColor="text1"/>
          <w:sz w:val="26"/>
          <w:szCs w:val="26"/>
        </w:rPr>
        <w:t xml:space="preserve">администрации городского округа город </w:t>
      </w:r>
      <w:r w:rsidRPr="00016C8F">
        <w:rPr>
          <w:color w:val="000000" w:themeColor="text1"/>
          <w:sz w:val="26"/>
          <w:szCs w:val="26"/>
        </w:rPr>
        <w:lastRenderedPageBreak/>
        <w:t>Шахунья Нижегородской области от 22 мая 2019 года № 555 «</w:t>
      </w:r>
      <w:r w:rsidRPr="00016C8F">
        <w:rPr>
          <w:noProof/>
          <w:sz w:val="26"/>
          <w:szCs w:val="26"/>
        </w:rPr>
        <w:t>Об утверждении реестра  размещения мест (площадок) накопления твердых ком</w:t>
      </w:r>
      <w:r w:rsidR="00425623">
        <w:rPr>
          <w:noProof/>
          <w:sz w:val="26"/>
          <w:szCs w:val="26"/>
        </w:rPr>
        <w:t>м</w:t>
      </w:r>
      <w:r w:rsidRPr="00016C8F">
        <w:rPr>
          <w:noProof/>
          <w:sz w:val="26"/>
          <w:szCs w:val="26"/>
        </w:rPr>
        <w:t>унальных отходов, расположенных на территории городского округа город</w:t>
      </w:r>
      <w:r>
        <w:rPr>
          <w:noProof/>
          <w:sz w:val="26"/>
          <w:szCs w:val="26"/>
        </w:rPr>
        <w:t xml:space="preserve"> Шахунья Нижегородской области»</w:t>
      </w:r>
      <w:r w:rsidR="00695B1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дополнить пунктами</w:t>
      </w:r>
      <w:r w:rsidR="00695B1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466, 467, 468, 469, </w:t>
      </w:r>
      <w:r w:rsidRPr="00016C8F">
        <w:rPr>
          <w:noProof/>
          <w:sz w:val="26"/>
          <w:szCs w:val="26"/>
        </w:rPr>
        <w:t>4</w:t>
      </w:r>
      <w:r>
        <w:rPr>
          <w:noProof/>
          <w:sz w:val="26"/>
          <w:szCs w:val="26"/>
        </w:rPr>
        <w:t>7</w:t>
      </w:r>
      <w:r w:rsidRPr="00016C8F">
        <w:rPr>
          <w:noProof/>
          <w:sz w:val="26"/>
          <w:szCs w:val="26"/>
        </w:rPr>
        <w:t>0,</w:t>
      </w:r>
      <w:r>
        <w:rPr>
          <w:noProof/>
          <w:sz w:val="26"/>
          <w:szCs w:val="26"/>
        </w:rPr>
        <w:t xml:space="preserve"> 471, 472, 473, 474 </w:t>
      </w:r>
      <w:r w:rsidRPr="00016C8F">
        <w:rPr>
          <w:noProof/>
          <w:sz w:val="26"/>
          <w:szCs w:val="26"/>
        </w:rPr>
        <w:t>согласно приложению к настоящему постановлению.</w:t>
      </w: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со дня опубликования на официальном сайте администрации </w:t>
      </w:r>
      <w:r w:rsidRPr="00016C8F">
        <w:rPr>
          <w:sz w:val="26"/>
          <w:szCs w:val="26"/>
          <w:shd w:val="clear" w:color="auto" w:fill="FFFFFF"/>
        </w:rPr>
        <w:t>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3167F1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16C8F">
        <w:rPr>
          <w:sz w:val="26"/>
          <w:szCs w:val="26"/>
        </w:rPr>
        <w:t>. Общему отделу администрации городского округа город Шахунья Нижегородской области опубликовать настоящее постановление в газете «Знамя Труда» и официальном сайте администрации городского округа город Шахунья Нижегородской области.</w:t>
      </w:r>
    </w:p>
    <w:p w:rsidR="003167F1" w:rsidRPr="00016C8F" w:rsidRDefault="003167F1" w:rsidP="003167F1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0C6F">
        <w:rPr>
          <w:sz w:val="26"/>
          <w:szCs w:val="26"/>
        </w:rPr>
        <w:t>. Контроль за исполнением настоящего постановления возложить на заместителя главы администрации</w:t>
      </w:r>
      <w:r w:rsidRPr="00BF2DE0">
        <w:rPr>
          <w:sz w:val="26"/>
          <w:szCs w:val="26"/>
        </w:rPr>
        <w:t xml:space="preserve">округа город Шахунья </w:t>
      </w:r>
      <w:r>
        <w:rPr>
          <w:sz w:val="26"/>
          <w:szCs w:val="26"/>
        </w:rPr>
        <w:t xml:space="preserve">Нижегородской области,начальника Управления по работе с территориями и благоустройствуадминистрации </w:t>
      </w:r>
      <w:r w:rsidRPr="00BF2DE0">
        <w:rPr>
          <w:sz w:val="26"/>
          <w:szCs w:val="26"/>
        </w:rPr>
        <w:t xml:space="preserve">городского округа город Шахунья </w:t>
      </w:r>
      <w:r>
        <w:rPr>
          <w:sz w:val="26"/>
          <w:szCs w:val="26"/>
        </w:rPr>
        <w:t>Нижегородской области</w:t>
      </w:r>
      <w:r w:rsidRPr="00BF2DE0">
        <w:rPr>
          <w:sz w:val="26"/>
          <w:szCs w:val="26"/>
        </w:rPr>
        <w:t xml:space="preserve"> Софронов</w:t>
      </w:r>
      <w:r w:rsidR="00C12791">
        <w:rPr>
          <w:sz w:val="26"/>
          <w:szCs w:val="26"/>
        </w:rPr>
        <w:t>а</w:t>
      </w:r>
      <w:r w:rsidRPr="00BF2DE0">
        <w:rPr>
          <w:sz w:val="26"/>
          <w:szCs w:val="26"/>
        </w:rPr>
        <w:t xml:space="preserve"> Ю.А.</w:t>
      </w:r>
    </w:p>
    <w:p w:rsidR="00394895" w:rsidRDefault="00394895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3167F1" w:rsidRDefault="003167F1" w:rsidP="004D2212">
      <w:pPr>
        <w:jc w:val="both"/>
        <w:rPr>
          <w:sz w:val="26"/>
          <w:szCs w:val="26"/>
        </w:rPr>
      </w:pP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:rsidR="00935551" w:rsidRDefault="00935551" w:rsidP="0093555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С.А.Кузнецов</w:t>
      </w:r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  <w:rPr>
          <w:sz w:val="22"/>
          <w:szCs w:val="22"/>
        </w:rPr>
      </w:pPr>
    </w:p>
    <w:p w:rsidR="009867F1" w:rsidRDefault="009867F1" w:rsidP="004D2212">
      <w:pPr>
        <w:jc w:val="both"/>
      </w:pPr>
    </w:p>
    <w:p w:rsidR="00135AD9" w:rsidRPr="004E7460" w:rsidRDefault="00135AD9" w:rsidP="004D2212">
      <w:pPr>
        <w:jc w:val="both"/>
      </w:pPr>
    </w:p>
    <w:p w:rsidR="003167F1" w:rsidRDefault="003167F1" w:rsidP="00135AD9">
      <w:pPr>
        <w:jc w:val="both"/>
        <w:rPr>
          <w:sz w:val="22"/>
          <w:szCs w:val="22"/>
        </w:rPr>
        <w:sectPr w:rsidR="003167F1" w:rsidSect="007266A4">
          <w:footerReference w:type="even" r:id="rId9"/>
          <w:pgSz w:w="11906" w:h="16838"/>
          <w:pgMar w:top="993" w:right="707" w:bottom="851" w:left="1276" w:header="720" w:footer="720" w:gutter="0"/>
          <w:cols w:space="720"/>
          <w:noEndnote/>
        </w:sectPr>
      </w:pPr>
      <w:bookmarkStart w:id="0" w:name="_GoBack"/>
      <w:bookmarkEnd w:id="0"/>
    </w:p>
    <w:p w:rsidR="003167F1" w:rsidRPr="003167F1" w:rsidRDefault="003167F1" w:rsidP="003167F1">
      <w:pPr>
        <w:pStyle w:val="1"/>
        <w:spacing w:before="0"/>
        <w:ind w:left="10348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67F1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1</w:t>
      </w:r>
      <w:r w:rsidRPr="003167F1">
        <w:rPr>
          <w:rFonts w:ascii="Times New Roman" w:hAnsi="Times New Roman" w:cs="Times New Roman"/>
          <w:b w:val="0"/>
          <w:sz w:val="24"/>
          <w:szCs w:val="24"/>
        </w:rPr>
        <w:br/>
        <w:t>к постановлению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3167F1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город Шахунья</w:t>
      </w:r>
    </w:p>
    <w:p w:rsidR="003167F1" w:rsidRPr="007D3544" w:rsidRDefault="003167F1" w:rsidP="003167F1">
      <w:pPr>
        <w:ind w:left="10348"/>
        <w:jc w:val="center"/>
      </w:pPr>
      <w:r>
        <w:t>от 20.10.2021 г. № 1180</w:t>
      </w:r>
    </w:p>
    <w:p w:rsidR="003167F1" w:rsidRDefault="003167F1" w:rsidP="003167F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7F1" w:rsidRPr="000A54EC" w:rsidRDefault="003167F1" w:rsidP="003167F1">
      <w:pPr>
        <w:tabs>
          <w:tab w:val="left" w:pos="1661"/>
          <w:tab w:val="left" w:pos="2352"/>
          <w:tab w:val="left" w:pos="3183"/>
        </w:tabs>
        <w:ind w:right="756"/>
        <w:jc w:val="right"/>
        <w:rPr>
          <w:sz w:val="14"/>
        </w:rPr>
      </w:pPr>
    </w:p>
    <w:p w:rsidR="003167F1" w:rsidRPr="008F2DB0" w:rsidRDefault="003167F1" w:rsidP="003167F1">
      <w:pPr>
        <w:pStyle w:val="a5"/>
        <w:jc w:val="center"/>
        <w:rPr>
          <w:sz w:val="26"/>
          <w:szCs w:val="26"/>
        </w:rPr>
      </w:pPr>
      <w:r w:rsidRPr="008F2DB0">
        <w:rPr>
          <w:sz w:val="26"/>
          <w:szCs w:val="26"/>
        </w:rPr>
        <w:t>Реестр размещения мест (площадок) накопления твердых коммунальных отходов,</w:t>
      </w:r>
      <w:r w:rsidRPr="008F2DB0">
        <w:rPr>
          <w:sz w:val="26"/>
          <w:szCs w:val="26"/>
        </w:rPr>
        <w:br/>
        <w:t xml:space="preserve"> расположенных на территории городского округа город Шахунья</w:t>
      </w:r>
      <w:r>
        <w:rPr>
          <w:sz w:val="26"/>
          <w:szCs w:val="26"/>
        </w:rPr>
        <w:t xml:space="preserve"> Нижегородской области</w:t>
      </w:r>
    </w:p>
    <w:p w:rsidR="003167F1" w:rsidRDefault="003167F1" w:rsidP="003167F1">
      <w:pPr>
        <w:rPr>
          <w:sz w:val="20"/>
        </w:rPr>
      </w:pPr>
    </w:p>
    <w:tbl>
      <w:tblPr>
        <w:tblStyle w:val="a4"/>
        <w:tblW w:w="14709" w:type="dxa"/>
        <w:tblLayout w:type="fixed"/>
        <w:tblLook w:val="04A0"/>
      </w:tblPr>
      <w:tblGrid>
        <w:gridCol w:w="527"/>
        <w:gridCol w:w="989"/>
        <w:gridCol w:w="857"/>
        <w:gridCol w:w="283"/>
        <w:gridCol w:w="996"/>
        <w:gridCol w:w="709"/>
        <w:gridCol w:w="1134"/>
        <w:gridCol w:w="992"/>
        <w:gridCol w:w="992"/>
        <w:gridCol w:w="993"/>
        <w:gridCol w:w="850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851"/>
      </w:tblGrid>
      <w:tr w:rsidR="003167F1" w:rsidTr="008C4B83">
        <w:trPr>
          <w:trHeight w:val="5722"/>
        </w:trPr>
        <w:tc>
          <w:tcPr>
            <w:tcW w:w="52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№ КП</w:t>
            </w:r>
          </w:p>
        </w:tc>
        <w:tc>
          <w:tcPr>
            <w:tcW w:w="989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поселения, МО</w:t>
            </w:r>
          </w:p>
        </w:tc>
        <w:tc>
          <w:tcPr>
            <w:tcW w:w="85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расположения КП</w:t>
            </w: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Схема размещения мест накопления ТКО</w:t>
            </w:r>
          </w:p>
        </w:tc>
        <w:tc>
          <w:tcPr>
            <w:tcW w:w="709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КП (для сбора ТКО, для сбора КГМ,</w:t>
            </w:r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для раздельного сбора, при мусоропроводах)</w:t>
            </w:r>
          </w:p>
        </w:tc>
        <w:tc>
          <w:tcPr>
            <w:tcW w:w="1134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Наименование ЮЛ/ИП - владельца данной КП</w:t>
            </w:r>
          </w:p>
        </w:tc>
        <w:tc>
          <w:tcPr>
            <w:tcW w:w="992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ОГРН</w:t>
            </w:r>
          </w:p>
        </w:tc>
        <w:tc>
          <w:tcPr>
            <w:tcW w:w="992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Адрес местонахождения</w:t>
            </w:r>
          </w:p>
        </w:tc>
        <w:tc>
          <w:tcPr>
            <w:tcW w:w="993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Источник мусоробразования</w:t>
            </w:r>
          </w:p>
        </w:tc>
        <w:tc>
          <w:tcPr>
            <w:tcW w:w="850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Наименование ЮЛ/ИП, оказывающего услуги </w:t>
            </w:r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по сбору и транспортированию ТКО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Материал, из которого изготовлен контейнер (металл, пластик)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установленных на КП контейнеров по каждому виду, шт.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сбору ТКО, шт.</w:t>
            </w:r>
          </w:p>
        </w:tc>
        <w:tc>
          <w:tcPr>
            <w:tcW w:w="426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планируемых  на КП контейнеров по раздельному сбору , шт.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размещенных</w:t>
            </w:r>
          </w:p>
        </w:tc>
        <w:tc>
          <w:tcPr>
            <w:tcW w:w="425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Количество бункеров накопителей планируемых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Вместимость по каждому виду установленных на КП контейнеров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Вид покрытия КП (асфальтовое, бетонное, грунтовое, иное)</w:t>
            </w:r>
          </w:p>
        </w:tc>
        <w:tc>
          <w:tcPr>
            <w:tcW w:w="567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Наличие навеса (в наличии / отсутствует)</w:t>
            </w:r>
          </w:p>
        </w:tc>
        <w:tc>
          <w:tcPr>
            <w:tcW w:w="851" w:type="dxa"/>
            <w:textDirection w:val="btLr"/>
            <w:vAlign w:val="center"/>
          </w:tcPr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>Место для сбора ТКО, оборудована КП/ не оборудована,</w:t>
            </w:r>
          </w:p>
          <w:p w:rsidR="003167F1" w:rsidRPr="008F2793" w:rsidRDefault="003167F1" w:rsidP="008C4B83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F2793">
              <w:rPr>
                <w:bCs/>
                <w:color w:val="000000"/>
                <w:sz w:val="16"/>
                <w:szCs w:val="16"/>
              </w:rPr>
              <w:t xml:space="preserve"> согласно нормам СанПиН</w:t>
            </w:r>
          </w:p>
        </w:tc>
      </w:tr>
      <w:tr w:rsidR="003167F1" w:rsidTr="008C4B83">
        <w:tc>
          <w:tcPr>
            <w:tcW w:w="52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9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9" w:type="dxa"/>
            <w:gridSpan w:val="2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851" w:type="dxa"/>
            <w:vAlign w:val="bottom"/>
          </w:tcPr>
          <w:p w:rsidR="003167F1" w:rsidRDefault="003167F1" w:rsidP="003167F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167F1" w:rsidTr="008C4B83"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перекресток ул. Крупской и ул. 8 Марта</w:t>
            </w:r>
          </w:p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rPr>
                <w:color w:val="000000"/>
                <w:sz w:val="16"/>
                <w:szCs w:val="16"/>
              </w:rPr>
            </w:pPr>
            <w:r w:rsidRPr="000D4190">
              <w:rPr>
                <w:color w:val="000000"/>
                <w:sz w:val="16"/>
                <w:szCs w:val="16"/>
              </w:rPr>
              <w:t>Администрация г.о.г. Шахунья Нижегородской области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ОГРН </w:t>
            </w:r>
            <w:r w:rsidRPr="000D4190">
              <w:rPr>
                <w:color w:val="000000"/>
                <w:sz w:val="16"/>
                <w:szCs w:val="16"/>
              </w:rPr>
              <w:t>1125235000868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0D4190">
              <w:rPr>
                <w:sz w:val="16"/>
                <w:szCs w:val="16"/>
              </w:rPr>
              <w:t>г. Шахунья, пл. Советская, д. 1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грунт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1084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467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37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Шахунский филиал АО «НОКК»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1095260013793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Советская д. 37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Офисные помещения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1084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468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д. 90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ТКО,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ИП. Васенева Г.И.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ОГРН 1304523930800050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Шахунья ул. Советская д.2 кв. 16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469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Коммунистическая д. 86</w:t>
            </w:r>
          </w:p>
        </w:tc>
        <w:tc>
          <w:tcPr>
            <w:tcW w:w="1279" w:type="dxa"/>
            <w:gridSpan w:val="2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Зимин Алексей Владимирович</w:t>
            </w:r>
          </w:p>
        </w:tc>
        <w:tc>
          <w:tcPr>
            <w:tcW w:w="992" w:type="dxa"/>
          </w:tcPr>
          <w:p w:rsidR="003167F1" w:rsidRPr="000F49E8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2C2C2C"/>
                <w:sz w:val="16"/>
                <w:szCs w:val="16"/>
                <w:shd w:val="clear" w:color="auto" w:fill="FFFFFF"/>
              </w:rPr>
              <w:t>ОГРН 308523536500010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Шахунья, </w:t>
            </w:r>
            <w:r>
              <w:rPr>
                <w:sz w:val="16"/>
                <w:szCs w:val="16"/>
              </w:rPr>
              <w:t>ул. Пушкина д. 66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Продуктовый магазин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rPr>
          <w:trHeight w:val="805"/>
        </w:trPr>
        <w:tc>
          <w:tcPr>
            <w:tcW w:w="52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470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3167F1" w:rsidRDefault="003167F1" w:rsidP="008C4B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Гагарина д. 17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ИП Кокотанова Ольга Юрьевна</w:t>
            </w:r>
          </w:p>
        </w:tc>
        <w:tc>
          <w:tcPr>
            <w:tcW w:w="992" w:type="dxa"/>
          </w:tcPr>
          <w:p w:rsidR="003167F1" w:rsidRPr="00555038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 xml:space="preserve">ОГРН </w:t>
            </w:r>
            <w:r>
              <w:rPr>
                <w:rFonts w:ascii="Arial" w:hAnsi="Arial" w:cs="Arial"/>
                <w:color w:val="35383B"/>
                <w:sz w:val="16"/>
                <w:szCs w:val="16"/>
                <w:shd w:val="clear" w:color="auto" w:fill="FFFFFF"/>
              </w:rPr>
              <w:t>310523515100024</w:t>
            </w:r>
          </w:p>
        </w:tc>
        <w:tc>
          <w:tcPr>
            <w:tcW w:w="992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 w:rsidRPr="00367BE9">
              <w:rPr>
                <w:sz w:val="16"/>
                <w:szCs w:val="16"/>
              </w:rPr>
              <w:t xml:space="preserve">г. Шахунья, </w:t>
            </w:r>
            <w:r>
              <w:rPr>
                <w:sz w:val="16"/>
                <w:szCs w:val="16"/>
              </w:rPr>
              <w:t>ул. Пушкина д. 30</w:t>
            </w:r>
          </w:p>
        </w:tc>
        <w:tc>
          <w:tcPr>
            <w:tcW w:w="993" w:type="dxa"/>
          </w:tcPr>
          <w:p w:rsidR="003167F1" w:rsidRPr="00367BE9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площади</w:t>
            </w:r>
          </w:p>
        </w:tc>
        <w:tc>
          <w:tcPr>
            <w:tcW w:w="850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ООО "ЭкоСтандарт"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471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 xml:space="preserve">Акционерное </w:t>
            </w:r>
            <w:r>
              <w:rPr>
                <w:sz w:val="16"/>
                <w:szCs w:val="16"/>
              </w:rPr>
              <w:t>общество «Молоко»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</w:tc>
        <w:tc>
          <w:tcPr>
            <w:tcW w:w="992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Нежилые здания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"ЭкоСтандарт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план</w:t>
            </w:r>
          </w:p>
        </w:tc>
      </w:tr>
      <w:tr w:rsidR="003167F1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472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Пушкина  в 190 м на север от д. 76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 xml:space="preserve">Акционерное </w:t>
            </w:r>
            <w:r>
              <w:rPr>
                <w:sz w:val="16"/>
                <w:szCs w:val="16"/>
              </w:rPr>
              <w:t>общество «Молоко»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1025201286395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л. Пархоменко</w:t>
            </w:r>
            <w:r>
              <w:rPr>
                <w:sz w:val="16"/>
                <w:szCs w:val="16"/>
              </w:rPr>
              <w:t xml:space="preserve"> уч.16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 (очистные)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"ЭкоСтандарт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1,1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 w:rsidRPr="00E910B7">
              <w:rPr>
                <w:sz w:val="16"/>
                <w:szCs w:val="16"/>
              </w:rPr>
              <w:t>план</w:t>
            </w:r>
          </w:p>
        </w:tc>
      </w:tr>
      <w:tr w:rsidR="003167F1" w:rsidRPr="00E910B7" w:rsidTr="008C4B83">
        <w:trPr>
          <w:trHeight w:val="602"/>
        </w:trPr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Ленина д. 90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«Агроторг»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color w:val="35383B"/>
                <w:sz w:val="16"/>
                <w:szCs w:val="16"/>
                <w:shd w:val="clear" w:color="auto" w:fill="FFFFFF"/>
              </w:rPr>
              <w:t>ОГРН 1027809237796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 xml:space="preserve">г. Бор ул. первомайская д. 18 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м-н Пятерочка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"ЭкоСтандарт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асфальт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оборудована</w:t>
            </w:r>
          </w:p>
        </w:tc>
      </w:tr>
      <w:tr w:rsidR="003167F1" w:rsidRPr="00E910B7" w:rsidTr="008C4B83">
        <w:tc>
          <w:tcPr>
            <w:tcW w:w="527" w:type="dxa"/>
          </w:tcPr>
          <w:p w:rsidR="003167F1" w:rsidRPr="00E83C40" w:rsidRDefault="003167F1" w:rsidP="008C4B83">
            <w:pPr>
              <w:rPr>
                <w:sz w:val="16"/>
                <w:szCs w:val="16"/>
              </w:rPr>
            </w:pPr>
            <w:r w:rsidRPr="00E83C40">
              <w:rPr>
                <w:sz w:val="16"/>
                <w:szCs w:val="16"/>
              </w:rPr>
              <w:t>47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89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г.о.г.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Шахунья г. Шахунья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F1" w:rsidRPr="00711050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Пионерская д. 11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67F1" w:rsidRDefault="003167F1" w:rsidP="008C4B83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67F1" w:rsidRDefault="003167F1" w:rsidP="008C4B83">
            <w:pPr>
              <w:jc w:val="center"/>
            </w:pPr>
            <w:r>
              <w:rPr>
                <w:color w:val="000000"/>
                <w:sz w:val="16"/>
                <w:szCs w:val="16"/>
              </w:rPr>
              <w:t>https://shahadm.ru/node/2369</w:t>
            </w:r>
          </w:p>
        </w:tc>
        <w:tc>
          <w:tcPr>
            <w:tcW w:w="709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для сбора ТКО</w:t>
            </w:r>
          </w:p>
        </w:tc>
        <w:tc>
          <w:tcPr>
            <w:tcW w:w="1134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Тобольцев Максим Владимирович</w:t>
            </w:r>
          </w:p>
        </w:tc>
        <w:tc>
          <w:tcPr>
            <w:tcW w:w="992" w:type="dxa"/>
          </w:tcPr>
          <w:p w:rsidR="003167F1" w:rsidRDefault="003167F1" w:rsidP="008C4B83">
            <w:pPr>
              <w:jc w:val="center"/>
              <w:rPr>
                <w:color w:val="35383B"/>
                <w:sz w:val="16"/>
                <w:szCs w:val="16"/>
                <w:shd w:val="clear" w:color="auto" w:fill="FFFFFF"/>
              </w:rPr>
            </w:pPr>
          </w:p>
          <w:p w:rsidR="003167F1" w:rsidRDefault="003167F1" w:rsidP="008C4B83">
            <w:pPr>
              <w:jc w:val="center"/>
            </w:pPr>
            <w:r>
              <w:rPr>
                <w:color w:val="35383B"/>
                <w:sz w:val="16"/>
                <w:szCs w:val="16"/>
                <w:shd w:val="clear" w:color="auto" w:fill="FFFFFF"/>
              </w:rPr>
              <w:t>Физ лицо</w:t>
            </w:r>
          </w:p>
        </w:tc>
        <w:tc>
          <w:tcPr>
            <w:tcW w:w="992" w:type="dxa"/>
          </w:tcPr>
          <w:p w:rsidR="003167F1" w:rsidRDefault="003167F1" w:rsidP="008C4B83">
            <w:r>
              <w:rPr>
                <w:sz w:val="16"/>
                <w:szCs w:val="16"/>
              </w:rPr>
              <w:t>у</w:t>
            </w:r>
            <w:r w:rsidRPr="00711050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. Пионерская д. 11</w:t>
            </w:r>
          </w:p>
        </w:tc>
        <w:tc>
          <w:tcPr>
            <w:tcW w:w="993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Индивидуальный жилой дом</w:t>
            </w:r>
          </w:p>
        </w:tc>
        <w:tc>
          <w:tcPr>
            <w:tcW w:w="850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ООО "ЭкоСтандарт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пластик</w:t>
            </w:r>
          </w:p>
        </w:tc>
        <w:tc>
          <w:tcPr>
            <w:tcW w:w="567" w:type="dxa"/>
          </w:tcPr>
          <w:p w:rsidR="003167F1" w:rsidRDefault="003167F1" w:rsidP="008C4B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  <w:p w:rsidR="003167F1" w:rsidRDefault="003167F1" w:rsidP="008C4B83">
            <w:r>
              <w:rPr>
                <w:color w:val="000000"/>
                <w:sz w:val="16"/>
                <w:szCs w:val="16"/>
              </w:rPr>
              <w:t>ТКО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 w:rsidRPr="00A1471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3167F1" w:rsidRPr="00A14714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567" w:type="dxa"/>
          </w:tcPr>
          <w:p w:rsidR="003167F1" w:rsidRDefault="003167F1" w:rsidP="008C4B83">
            <w:r>
              <w:rPr>
                <w:color w:val="000000"/>
                <w:sz w:val="16"/>
                <w:szCs w:val="16"/>
              </w:rPr>
              <w:t>бетон</w:t>
            </w:r>
          </w:p>
        </w:tc>
        <w:tc>
          <w:tcPr>
            <w:tcW w:w="567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  <w:tc>
          <w:tcPr>
            <w:tcW w:w="851" w:type="dxa"/>
          </w:tcPr>
          <w:p w:rsidR="003167F1" w:rsidRPr="00E910B7" w:rsidRDefault="003167F1" w:rsidP="008C4B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оборудована</w:t>
            </w:r>
          </w:p>
        </w:tc>
      </w:tr>
    </w:tbl>
    <w:p w:rsidR="003167F1" w:rsidRDefault="003167F1" w:rsidP="003167F1"/>
    <w:p w:rsidR="003167F1" w:rsidRDefault="003167F1" w:rsidP="003167F1"/>
    <w:p w:rsidR="00135AD9" w:rsidRDefault="003167F1" w:rsidP="003167F1">
      <w:pPr>
        <w:jc w:val="center"/>
        <w:rPr>
          <w:sz w:val="22"/>
          <w:szCs w:val="22"/>
        </w:rPr>
      </w:pPr>
      <w:r>
        <w:t>____________________________________</w:t>
      </w:r>
    </w:p>
    <w:sectPr w:rsidR="00135AD9" w:rsidSect="003167F1">
      <w:pgSz w:w="16838" w:h="11906" w:orient="landscape"/>
      <w:pgMar w:top="993" w:right="992" w:bottom="70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7A0" w:rsidRDefault="008117A0">
      <w:r>
        <w:separator/>
      </w:r>
    </w:p>
  </w:endnote>
  <w:endnote w:type="continuationSeparator" w:id="1">
    <w:p w:rsidR="008117A0" w:rsidRDefault="00811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136D6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7A0" w:rsidRDefault="008117A0">
      <w:r>
        <w:separator/>
      </w:r>
    </w:p>
  </w:footnote>
  <w:footnote w:type="continuationSeparator" w:id="1">
    <w:p w:rsidR="008117A0" w:rsidRDefault="008117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8"/>
  </w:num>
  <w:num w:numId="13">
    <w:abstractNumId w:val="11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D6D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4528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167F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1F0E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C788E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5623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9F3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5B1C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3289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17A0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2FF8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791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0EEFF-CCFC-43CC-A3F9-AD9BE266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4</cp:revision>
  <cp:lastPrinted>2021-10-22T05:22:00Z</cp:lastPrinted>
  <dcterms:created xsi:type="dcterms:W3CDTF">2021-10-22T05:31:00Z</dcterms:created>
  <dcterms:modified xsi:type="dcterms:W3CDTF">2022-01-27T12:12:00Z</dcterms:modified>
</cp:coreProperties>
</file>