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CF" w:rsidRDefault="00F928CF" w:rsidP="00F928CF">
      <w:pPr>
        <w:pStyle w:val="90"/>
        <w:shd w:val="clear" w:color="auto" w:fill="auto"/>
        <w:spacing w:after="339"/>
        <w:ind w:right="480" w:firstLine="567"/>
      </w:pPr>
      <w:bookmarkStart w:id="0" w:name="_GoBack"/>
      <w:r>
        <w:rPr>
          <w:color w:val="000000"/>
          <w:lang w:eastAsia="ru-RU" w:bidi="ru-RU"/>
        </w:rPr>
        <w:t>ОСНОВАНИЯ И ПОРЯДОК ОБРАЩЕНИЯ В КОМИССИЮ ПО</w:t>
      </w:r>
      <w:r>
        <w:rPr>
          <w:color w:val="000000"/>
          <w:lang w:eastAsia="ru-RU" w:bidi="ru-RU"/>
        </w:rPr>
        <w:t xml:space="preserve"> </w:t>
      </w:r>
      <w:r>
        <w:rPr>
          <w:color w:val="000000"/>
          <w:lang w:eastAsia="ru-RU" w:bidi="ru-RU"/>
        </w:rPr>
        <w:t>РАССМОТРЕНИЮ СПОРОВ О РЕЗУЛЬТАТАХ ПРЕДЕЛЕНИЯ</w:t>
      </w:r>
      <w:r>
        <w:rPr>
          <w:color w:val="000000"/>
          <w:lang w:eastAsia="ru-RU" w:bidi="ru-RU"/>
        </w:rPr>
        <w:t xml:space="preserve"> </w:t>
      </w:r>
      <w:r>
        <w:rPr>
          <w:color w:val="000000"/>
          <w:lang w:eastAsia="ru-RU" w:bidi="ru-RU"/>
        </w:rPr>
        <w:t>КАДАСТРОВОЙ СТОИМОСТИ НА ТЕРРИТОРИИ</w:t>
      </w:r>
      <w:r>
        <w:rPr>
          <w:color w:val="000000"/>
          <w:lang w:eastAsia="ru-RU" w:bidi="ru-RU"/>
        </w:rPr>
        <w:t xml:space="preserve"> </w:t>
      </w:r>
      <w:r>
        <w:rPr>
          <w:color w:val="000000"/>
          <w:lang w:eastAsia="ru-RU" w:bidi="ru-RU"/>
        </w:rPr>
        <w:t>НИЖЕГОРОДСКОЙ ОБЛАСТИ</w:t>
      </w:r>
    </w:p>
    <w:bookmarkEnd w:id="0"/>
    <w:p w:rsidR="00F928CF" w:rsidRDefault="00F928CF" w:rsidP="00F928CF">
      <w:pPr>
        <w:pStyle w:val="20"/>
        <w:shd w:val="clear" w:color="auto" w:fill="auto"/>
        <w:spacing w:after="0"/>
        <w:ind w:firstLine="567"/>
        <w:jc w:val="both"/>
      </w:pPr>
      <w:r>
        <w:rPr>
          <w:color w:val="000000"/>
          <w:lang w:eastAsia="ru-RU" w:bidi="ru-RU"/>
        </w:rPr>
        <w:t>Вступивший в силу Федеральный закон от 22.07.2010 №167-ФЗ «О внесении изменений в Федеральный закон «Об оценочной деятельности в Российской Федерации» и отдельные законодательные акты Российской Федерации» установил, в том числе возможность оспаривания результатов государственной кадастровой оценки, путем обращения в комиссию по рассмотрению споров о результатах определения кадастровой стоимости (далее - Комиссия). Положения Федерального закона №167-ФЗ, в части рассмотрения споров в Комиссии, применяются к государственной кадастровой оценке земель, договоры на проведение которой были заключены после истечения шестидесяти дней после дня официального опубликования настоящего Федерального закона. С учетом вышеупомянутого положения в настоящее время Комиссия рассматривает споры по результатам определения кадастровой стоимости объектов недвижимости, утвержденным следующими Постановлениями Правительства Нижегородской области:</w:t>
      </w:r>
    </w:p>
    <w:p w:rsidR="00F928CF" w:rsidRDefault="00F928CF" w:rsidP="00F928CF">
      <w:pPr>
        <w:pStyle w:val="20"/>
        <w:numPr>
          <w:ilvl w:val="0"/>
          <w:numId w:val="4"/>
        </w:numPr>
        <w:shd w:val="clear" w:color="auto" w:fill="auto"/>
        <w:tabs>
          <w:tab w:val="left" w:pos="2711"/>
        </w:tabs>
        <w:spacing w:after="0"/>
        <w:ind w:left="567"/>
        <w:jc w:val="both"/>
      </w:pPr>
      <w:r>
        <w:rPr>
          <w:color w:val="000000"/>
          <w:lang w:eastAsia="ru-RU" w:bidi="ru-RU"/>
        </w:rPr>
        <w:t>Постановлением Правительства Нижегородской области №331 от</w:t>
      </w:r>
      <w:r>
        <w:rPr>
          <w:color w:val="000000"/>
          <w:lang w:eastAsia="ru-RU" w:bidi="ru-RU"/>
        </w:rPr>
        <w:t xml:space="preserve"> </w:t>
      </w:r>
      <w:r>
        <w:rPr>
          <w:color w:val="000000"/>
          <w:lang w:eastAsia="ru-RU" w:bidi="ru-RU"/>
        </w:rPr>
        <w:t>«Об утверждении результатов государственной кадастровой оценки объектов недвижимости (за исключением земельных участков) на территории Нижегородской области»,</w:t>
      </w:r>
    </w:p>
    <w:p w:rsidR="00F928CF" w:rsidRDefault="00F928CF" w:rsidP="00F928CF">
      <w:pPr>
        <w:pStyle w:val="20"/>
        <w:numPr>
          <w:ilvl w:val="0"/>
          <w:numId w:val="4"/>
        </w:numPr>
        <w:shd w:val="clear" w:color="auto" w:fill="auto"/>
        <w:tabs>
          <w:tab w:val="left" w:pos="2711"/>
        </w:tabs>
        <w:spacing w:after="0"/>
        <w:ind w:left="567"/>
        <w:jc w:val="both"/>
      </w:pPr>
      <w:r>
        <w:rPr>
          <w:color w:val="000000"/>
          <w:lang w:eastAsia="ru-RU" w:bidi="ru-RU"/>
        </w:rPr>
        <w:t>Постановлением Правительства Нижегородской области №863 от</w:t>
      </w:r>
      <w:r>
        <w:rPr>
          <w:color w:val="000000"/>
          <w:lang w:eastAsia="ru-RU" w:bidi="ru-RU"/>
        </w:rPr>
        <w:t xml:space="preserve"> </w:t>
      </w:r>
      <w:r>
        <w:rPr>
          <w:color w:val="000000"/>
          <w:lang w:eastAsia="ru-RU" w:bidi="ru-RU"/>
        </w:rPr>
        <w:t xml:space="preserve">«Об утверждении результатов государственной кадастровой оценки земель населенного пункта города Кстово </w:t>
      </w:r>
      <w:proofErr w:type="spellStart"/>
      <w:r>
        <w:rPr>
          <w:color w:val="000000"/>
          <w:lang w:eastAsia="ru-RU" w:bidi="ru-RU"/>
        </w:rPr>
        <w:t>Кстовского</w:t>
      </w:r>
      <w:proofErr w:type="spellEnd"/>
      <w:r>
        <w:rPr>
          <w:color w:val="000000"/>
          <w:lang w:eastAsia="ru-RU" w:bidi="ru-RU"/>
        </w:rPr>
        <w:t xml:space="preserve"> района Нижегородской области»,</w:t>
      </w:r>
    </w:p>
    <w:p w:rsidR="00F928CF" w:rsidRDefault="00F928CF" w:rsidP="00F928CF">
      <w:pPr>
        <w:pStyle w:val="20"/>
        <w:numPr>
          <w:ilvl w:val="0"/>
          <w:numId w:val="4"/>
        </w:numPr>
        <w:shd w:val="clear" w:color="auto" w:fill="auto"/>
        <w:tabs>
          <w:tab w:val="left" w:pos="2711"/>
        </w:tabs>
        <w:spacing w:after="0"/>
        <w:ind w:left="567"/>
        <w:jc w:val="both"/>
      </w:pPr>
      <w:r>
        <w:rPr>
          <w:color w:val="000000"/>
          <w:lang w:eastAsia="ru-RU" w:bidi="ru-RU"/>
        </w:rPr>
        <w:t>Постановлением Правительства Нижегородской области от 28 декабря 2011 года № 1095 «Об утверждении результатов государственной кадастровой оценки земель сельскохозяйственного назначения Нижегородской области».</w:t>
      </w:r>
    </w:p>
    <w:p w:rsidR="00F928CF" w:rsidRDefault="00F928CF" w:rsidP="00F928CF">
      <w:pPr>
        <w:pStyle w:val="20"/>
        <w:shd w:val="clear" w:color="auto" w:fill="auto"/>
        <w:spacing w:after="0"/>
        <w:ind w:firstLine="567"/>
        <w:jc w:val="both"/>
        <w:rPr>
          <w:color w:val="000000"/>
          <w:lang w:eastAsia="ru-RU" w:bidi="ru-RU"/>
        </w:rPr>
      </w:pPr>
    </w:p>
    <w:p w:rsidR="00F928CF" w:rsidRDefault="00F928CF" w:rsidP="00F928CF">
      <w:pPr>
        <w:pStyle w:val="20"/>
        <w:shd w:val="clear" w:color="auto" w:fill="auto"/>
        <w:spacing w:after="0"/>
        <w:ind w:firstLine="567"/>
        <w:jc w:val="both"/>
      </w:pPr>
      <w:r>
        <w:rPr>
          <w:color w:val="000000"/>
          <w:lang w:eastAsia="ru-RU" w:bidi="ru-RU"/>
        </w:rPr>
        <w:t>В соответствии со статьей 24.18 Федерального закона, от 29.07.1998 №135-Ф3 «Об оценочной деятельности в Российской Федерации» (с изменениями от 21.07.2014; далее - Закон об оценке) предусмотрено, что 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Результаты определения кадастровой стоимости могут быть оспорены физическими лицами в случае,</w:t>
      </w:r>
      <w:r>
        <w:rPr>
          <w:color w:val="000000"/>
          <w:lang w:eastAsia="ru-RU" w:bidi="ru-RU"/>
        </w:rPr>
        <w:t xml:space="preserve"> </w:t>
      </w:r>
      <w:r>
        <w:rPr>
          <w:color w:val="000000"/>
          <w:lang w:eastAsia="ru-RU" w:bidi="ru-RU"/>
        </w:rPr>
        <w:t>если результаты определения кадастровой стоимости затрагивают права и обязанности этих лиц, в суде или Комиссии.</w:t>
      </w:r>
    </w:p>
    <w:p w:rsidR="00F928CF" w:rsidRDefault="00F928CF" w:rsidP="00F928CF">
      <w:pPr>
        <w:pStyle w:val="20"/>
        <w:shd w:val="clear" w:color="auto" w:fill="auto"/>
        <w:spacing w:after="0"/>
        <w:ind w:firstLine="567"/>
        <w:jc w:val="both"/>
      </w:pPr>
      <w:r>
        <w:rPr>
          <w:color w:val="000000"/>
          <w:lang w:eastAsia="ru-RU" w:bidi="ru-RU"/>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F928CF" w:rsidRDefault="00F928CF" w:rsidP="00F928CF">
      <w:pPr>
        <w:pStyle w:val="20"/>
        <w:shd w:val="clear" w:color="auto" w:fill="auto"/>
        <w:spacing w:after="0"/>
        <w:ind w:firstLine="567"/>
        <w:jc w:val="both"/>
      </w:pPr>
      <w:r>
        <w:rPr>
          <w:color w:val="000000"/>
          <w:lang w:eastAsia="ru-RU" w:bidi="ru-RU"/>
        </w:rPr>
        <w:lastRenderedPageBreak/>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w:t>
      </w:r>
    </w:p>
    <w:p w:rsidR="00F928CF" w:rsidRDefault="00F928CF" w:rsidP="00F928CF">
      <w:pPr>
        <w:pStyle w:val="20"/>
        <w:shd w:val="clear" w:color="auto" w:fill="auto"/>
        <w:spacing w:after="0"/>
        <w:ind w:firstLine="567"/>
        <w:jc w:val="both"/>
      </w:pPr>
      <w:r>
        <w:rPr>
          <w:color w:val="000000"/>
          <w:lang w:eastAsia="ru-RU" w:bidi="ru-RU"/>
        </w:rPr>
        <w:t xml:space="preserve">В соответствии с Приказом </w:t>
      </w:r>
      <w:proofErr w:type="spellStart"/>
      <w:r>
        <w:rPr>
          <w:color w:val="000000"/>
          <w:lang w:eastAsia="ru-RU" w:bidi="ru-RU"/>
        </w:rPr>
        <w:t>Росреестра</w:t>
      </w:r>
      <w:proofErr w:type="spellEnd"/>
      <w:r>
        <w:rPr>
          <w:color w:val="000000"/>
          <w:lang w:eastAsia="ru-RU" w:bidi="ru-RU"/>
        </w:rPr>
        <w:t xml:space="preserve"> от 06.02.2012 №П/49 (с изменениями, внесенными Приказом </w:t>
      </w:r>
      <w:proofErr w:type="spellStart"/>
      <w:r>
        <w:rPr>
          <w:color w:val="000000"/>
          <w:lang w:eastAsia="ru-RU" w:bidi="ru-RU"/>
        </w:rPr>
        <w:t>Росреестра</w:t>
      </w:r>
      <w:proofErr w:type="spellEnd"/>
      <w:r>
        <w:rPr>
          <w:color w:val="000000"/>
          <w:lang w:eastAsia="ru-RU" w:bidi="ru-RU"/>
        </w:rPr>
        <w:t xml:space="preserve"> от 29.09.2014 №П/448) на территории Нижегородской области создана комиссия по рассмотрению споров о результатах определения кадастровой стоимости. В состав комиссии вошли по одному представителю органа исполнительной власти субъекта Российской Федерации, органа, осуществляющего функции по государственной кадастровой оценке, органа кадастрового учета, Национального совета по оценочной деятельности. Деятельность комиссии регламентируется Приказом Минэкономразвития РФ от 04.05.2012 № 263 «Об утверждении Порядка создания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22.02.2011 № 69 «Об утверждении Типовых требований к порядку создания и работы комиссии по рассмотрению споров о результатах определения кадастровой стоимости».</w:t>
      </w:r>
    </w:p>
    <w:p w:rsidR="00F928CF" w:rsidRDefault="00F928CF" w:rsidP="00F928CF">
      <w:pPr>
        <w:pStyle w:val="20"/>
        <w:shd w:val="clear" w:color="auto" w:fill="auto"/>
        <w:spacing w:after="0"/>
        <w:ind w:firstLine="567"/>
        <w:jc w:val="both"/>
      </w:pPr>
      <w:r>
        <w:rPr>
          <w:color w:val="000000"/>
          <w:lang w:eastAsia="ru-RU" w:bidi="ru-RU"/>
        </w:rP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 Заявители), обращаются в комиссию с заявлением о пересмотре результатов определения кадастровой стоимости (далее - Заявление).</w:t>
      </w:r>
    </w:p>
    <w:p w:rsidR="00F928CF" w:rsidRDefault="00F928CF" w:rsidP="00F928CF">
      <w:pPr>
        <w:pStyle w:val="20"/>
        <w:shd w:val="clear" w:color="auto" w:fill="auto"/>
        <w:spacing w:after="0"/>
        <w:ind w:firstLine="567"/>
        <w:jc w:val="both"/>
      </w:pPr>
      <w:r>
        <w:rPr>
          <w:color w:val="000000"/>
          <w:lang w:eastAsia="ru-RU" w:bidi="ru-RU"/>
        </w:rPr>
        <w:t>Заявление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статьей 24.19 Закона об оценке,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rsidR="00F928CF" w:rsidRDefault="00F928CF" w:rsidP="00F928CF">
      <w:pPr>
        <w:pStyle w:val="20"/>
        <w:shd w:val="clear" w:color="auto" w:fill="auto"/>
        <w:spacing w:after="0"/>
        <w:ind w:firstLine="567"/>
        <w:jc w:val="both"/>
      </w:pPr>
      <w:r>
        <w:rPr>
          <w:color w:val="000000"/>
          <w:lang w:eastAsia="ru-RU" w:bidi="ru-RU"/>
        </w:rPr>
        <w:t>Основанием для пересмотра результатов определения кадастровой стоимости является:</w:t>
      </w:r>
    </w:p>
    <w:p w:rsidR="00F928CF" w:rsidRDefault="00F928CF" w:rsidP="00F928CF">
      <w:pPr>
        <w:pStyle w:val="20"/>
        <w:shd w:val="clear" w:color="auto" w:fill="auto"/>
        <w:spacing w:after="0"/>
        <w:ind w:firstLine="567"/>
        <w:jc w:val="both"/>
      </w:pPr>
      <w:r>
        <w:rPr>
          <w:color w:val="000000"/>
          <w:lang w:eastAsia="ru-RU" w:bidi="ru-RU"/>
        </w:rPr>
        <w:t>- недостоверность сведений об объекте недвижимости, использованных при определении его кадастровой стоимости;</w:t>
      </w:r>
    </w:p>
    <w:p w:rsidR="00F928CF" w:rsidRDefault="00F928CF" w:rsidP="00F928CF">
      <w:pPr>
        <w:pStyle w:val="20"/>
        <w:shd w:val="clear" w:color="auto" w:fill="auto"/>
        <w:spacing w:after="0"/>
        <w:ind w:firstLine="567"/>
        <w:jc w:val="both"/>
      </w:pPr>
      <w:r>
        <w:rPr>
          <w:color w:val="000000"/>
          <w:lang w:eastAsia="ru-RU" w:bidi="ru-RU"/>
        </w:rPr>
        <w:t>-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F928CF" w:rsidRDefault="00F928CF" w:rsidP="00F928CF">
      <w:pPr>
        <w:pStyle w:val="20"/>
        <w:shd w:val="clear" w:color="auto" w:fill="auto"/>
        <w:spacing w:after="0"/>
        <w:ind w:firstLine="567"/>
        <w:jc w:val="both"/>
      </w:pPr>
      <w:r>
        <w:rPr>
          <w:color w:val="000000"/>
          <w:lang w:eastAsia="ru-RU" w:bidi="ru-RU"/>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F928CF" w:rsidRDefault="00F928CF" w:rsidP="00F928CF">
      <w:pPr>
        <w:pStyle w:val="20"/>
        <w:shd w:val="clear" w:color="auto" w:fill="auto"/>
        <w:spacing w:after="0"/>
        <w:ind w:firstLine="567"/>
        <w:jc w:val="both"/>
      </w:pPr>
      <w:r>
        <w:rPr>
          <w:color w:val="000000"/>
          <w:lang w:eastAsia="ru-RU" w:bidi="ru-RU"/>
        </w:rPr>
        <w:lastRenderedPageBreak/>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57672C" w:rsidRDefault="0057672C" w:rsidP="00F928CF">
      <w:pPr>
        <w:ind w:firstLine="567"/>
      </w:pPr>
    </w:p>
    <w:sectPr w:rsidR="0057672C" w:rsidSect="00F928CF">
      <w:headerReference w:type="even" r:id="rId5"/>
      <w:headerReference w:type="default" r:id="rId6"/>
      <w:footerReference w:type="even" r:id="rId7"/>
      <w:headerReference w:type="first" r:id="rId8"/>
      <w:pgSz w:w="11900" w:h="16840"/>
      <w:pgMar w:top="1134" w:right="850" w:bottom="1134" w:left="170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EF" w:rsidRDefault="00F928C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EF" w:rsidRDefault="00F928CF">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4106545</wp:posOffset>
              </wp:positionH>
              <wp:positionV relativeFrom="page">
                <wp:posOffset>502285</wp:posOffset>
              </wp:positionV>
              <wp:extent cx="45720" cy="94615"/>
              <wp:effectExtent l="1270" t="0" r="635"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3EF" w:rsidRDefault="00F928CF">
                          <w:pPr>
                            <w:pStyle w:val="22"/>
                            <w:shd w:val="clear" w:color="auto" w:fill="auto"/>
                            <w:spacing w:line="240" w:lineRule="auto"/>
                          </w:pPr>
                          <w:r>
                            <w:rPr>
                              <w:rStyle w:val="2Calibri95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23.35pt;margin-top:39.55pt;width:3.6pt;height:7.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1NvwIAAKo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" filled="f" stroked="f">
              <v:textbox style="mso-fit-shape-to-text:t" inset="0,0,0,0">
                <w:txbxContent>
                  <w:p w:rsidR="005B33EF" w:rsidRDefault="00F928CF">
                    <w:pPr>
                      <w:pStyle w:val="22"/>
                      <w:shd w:val="clear" w:color="auto" w:fill="auto"/>
                      <w:spacing w:line="240" w:lineRule="auto"/>
                    </w:pPr>
                    <w:r>
                      <w:rPr>
                        <w:rStyle w:val="2Calibri95pt"/>
                      </w:rPr>
                      <w:t>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EF" w:rsidRDefault="00F928CF">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4106545</wp:posOffset>
              </wp:positionH>
              <wp:positionV relativeFrom="page">
                <wp:posOffset>502285</wp:posOffset>
              </wp:positionV>
              <wp:extent cx="61595" cy="147320"/>
              <wp:effectExtent l="1270" t="0" r="635"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3EF" w:rsidRDefault="00F928CF">
                          <w:pPr>
                            <w:pStyle w:val="22"/>
                            <w:shd w:val="clear" w:color="auto" w:fill="auto"/>
                            <w:spacing w:line="240" w:lineRule="auto"/>
                          </w:pPr>
                          <w:r>
                            <w:rPr>
                              <w:rStyle w:val="2Calibri95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323.35pt;margin-top:39.55pt;width:4.85pt;height:11.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" filled="f" stroked="f">
              <v:textbox style="mso-fit-shape-to-text:t" inset="0,0,0,0">
                <w:txbxContent>
                  <w:p w:rsidR="005B33EF" w:rsidRDefault="00F928CF">
                    <w:pPr>
                      <w:pStyle w:val="22"/>
                      <w:shd w:val="clear" w:color="auto" w:fill="auto"/>
                      <w:spacing w:line="240" w:lineRule="auto"/>
                    </w:pPr>
                    <w:r>
                      <w:rPr>
                        <w:rStyle w:val="2Calibri95pt"/>
                      </w:rPr>
                      <w:t>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EF" w:rsidRDefault="00F928CF">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4098290</wp:posOffset>
              </wp:positionH>
              <wp:positionV relativeFrom="page">
                <wp:posOffset>544195</wp:posOffset>
              </wp:positionV>
              <wp:extent cx="51435" cy="114935"/>
              <wp:effectExtent l="2540" t="1270"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3EF" w:rsidRDefault="00F928CF">
                          <w:pPr>
                            <w:pStyle w:val="a4"/>
                            <w:shd w:val="clear" w:color="auto" w:fill="auto"/>
                            <w:spacing w:line="240" w:lineRule="auto"/>
                          </w:pPr>
                          <w:r>
                            <w:rPr>
                              <w:rStyle w:val="FranklinGothicBook8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8" type="#_x0000_t202" style="position:absolute;margin-left:322.7pt;margin-top:42.85pt;width:4.05pt;height:9.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" filled="f" stroked="f">
              <v:textbox style="mso-fit-shape-to-text:t" inset="0,0,0,0">
                <w:txbxContent>
                  <w:p w:rsidR="005B33EF" w:rsidRDefault="00F928CF">
                    <w:pPr>
                      <w:pStyle w:val="a4"/>
                      <w:shd w:val="clear" w:color="auto" w:fill="auto"/>
                      <w:spacing w:line="240" w:lineRule="auto"/>
                    </w:pPr>
                    <w:r>
                      <w:rPr>
                        <w:rStyle w:val="FranklinGothicBook8pt"/>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024D2"/>
    <w:multiLevelType w:val="hybridMultilevel"/>
    <w:tmpl w:val="9A227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5AF5C3D"/>
    <w:multiLevelType w:val="multilevel"/>
    <w:tmpl w:val="C5DE9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E102B9"/>
    <w:multiLevelType w:val="multilevel"/>
    <w:tmpl w:val="2452DBDA"/>
    <w:lvl w:ilvl="0">
      <w:start w:val="2012"/>
      <w:numFmt w:val="decimal"/>
      <w:lvlText w:val="07.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B6467C"/>
    <w:multiLevelType w:val="multilevel"/>
    <w:tmpl w:val="8358424E"/>
    <w:lvl w:ilvl="0">
      <w:start w:val="2012"/>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CF"/>
    <w:rsid w:val="0057672C"/>
    <w:rsid w:val="00F9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8325AE-CB04-47E4-B91E-40B5A554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28C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928CF"/>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a4"/>
    <w:rsid w:val="00F928CF"/>
    <w:rPr>
      <w:rFonts w:ascii="Calibri" w:eastAsia="Calibri" w:hAnsi="Calibri" w:cs="Calibri"/>
      <w:sz w:val="19"/>
      <w:szCs w:val="19"/>
      <w:shd w:val="clear" w:color="auto" w:fill="FFFFFF"/>
    </w:rPr>
  </w:style>
  <w:style w:type="character" w:customStyle="1" w:styleId="9">
    <w:name w:val="Основной текст (9)_"/>
    <w:basedOn w:val="a0"/>
    <w:link w:val="90"/>
    <w:rsid w:val="00F928CF"/>
    <w:rPr>
      <w:rFonts w:ascii="Times New Roman" w:eastAsia="Times New Roman" w:hAnsi="Times New Roman" w:cs="Times New Roman"/>
      <w:b/>
      <w:bCs/>
      <w:sz w:val="28"/>
      <w:szCs w:val="28"/>
      <w:shd w:val="clear" w:color="auto" w:fill="FFFFFF"/>
    </w:rPr>
  </w:style>
  <w:style w:type="character" w:customStyle="1" w:styleId="FranklinGothicBook8pt">
    <w:name w:val="Колонтитул + Franklin Gothic Book;8 pt"/>
    <w:basedOn w:val="a3"/>
    <w:rsid w:val="00F928CF"/>
    <w:rPr>
      <w:rFonts w:ascii="Franklin Gothic Book" w:eastAsia="Franklin Gothic Book" w:hAnsi="Franklin Gothic Book" w:cs="Franklin Gothic Book"/>
      <w:color w:val="000000"/>
      <w:spacing w:val="0"/>
      <w:w w:val="100"/>
      <w:position w:val="0"/>
      <w:sz w:val="16"/>
      <w:szCs w:val="16"/>
      <w:shd w:val="clear" w:color="auto" w:fill="FFFFFF"/>
      <w:lang w:val="ru-RU" w:eastAsia="ru-RU" w:bidi="ru-RU"/>
    </w:rPr>
  </w:style>
  <w:style w:type="character" w:customStyle="1" w:styleId="21">
    <w:name w:val="Колонтитул (2)_"/>
    <w:basedOn w:val="a0"/>
    <w:link w:val="22"/>
    <w:rsid w:val="00F928CF"/>
    <w:rPr>
      <w:rFonts w:ascii="Franklin Gothic Book" w:eastAsia="Franklin Gothic Book" w:hAnsi="Franklin Gothic Book" w:cs="Franklin Gothic Book"/>
      <w:sz w:val="16"/>
      <w:szCs w:val="16"/>
      <w:shd w:val="clear" w:color="auto" w:fill="FFFFFF"/>
    </w:rPr>
  </w:style>
  <w:style w:type="character" w:customStyle="1" w:styleId="2Calibri95pt">
    <w:name w:val="Колонтитул (2) + Calibri;9;5 pt"/>
    <w:basedOn w:val="21"/>
    <w:rsid w:val="00F928CF"/>
    <w:rPr>
      <w:rFonts w:ascii="Calibri" w:eastAsia="Calibri" w:hAnsi="Calibri" w:cs="Calibri"/>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F928CF"/>
    <w:pPr>
      <w:shd w:val="clear" w:color="auto" w:fill="FFFFFF"/>
      <w:spacing w:after="300" w:line="322" w:lineRule="exact"/>
    </w:pPr>
    <w:rPr>
      <w:rFonts w:ascii="Times New Roman" w:eastAsia="Times New Roman" w:hAnsi="Times New Roman" w:cs="Times New Roman"/>
      <w:color w:val="auto"/>
      <w:sz w:val="26"/>
      <w:szCs w:val="26"/>
      <w:lang w:eastAsia="en-US" w:bidi="ar-SA"/>
    </w:rPr>
  </w:style>
  <w:style w:type="paragraph" w:customStyle="1" w:styleId="a4">
    <w:name w:val="Колонтитул"/>
    <w:basedOn w:val="a"/>
    <w:link w:val="a3"/>
    <w:rsid w:val="00F928CF"/>
    <w:pPr>
      <w:shd w:val="clear" w:color="auto" w:fill="FFFFFF"/>
      <w:spacing w:line="0" w:lineRule="atLeast"/>
    </w:pPr>
    <w:rPr>
      <w:rFonts w:ascii="Calibri" w:eastAsia="Calibri" w:hAnsi="Calibri" w:cs="Calibri"/>
      <w:color w:val="auto"/>
      <w:sz w:val="19"/>
      <w:szCs w:val="19"/>
      <w:lang w:eastAsia="en-US" w:bidi="ar-SA"/>
    </w:rPr>
  </w:style>
  <w:style w:type="paragraph" w:customStyle="1" w:styleId="90">
    <w:name w:val="Основной текст (9)"/>
    <w:basedOn w:val="a"/>
    <w:link w:val="9"/>
    <w:rsid w:val="00F928CF"/>
    <w:pPr>
      <w:shd w:val="clear" w:color="auto" w:fill="FFFFFF"/>
      <w:spacing w:after="300" w:line="370" w:lineRule="exact"/>
      <w:jc w:val="center"/>
    </w:pPr>
    <w:rPr>
      <w:rFonts w:ascii="Times New Roman" w:eastAsia="Times New Roman" w:hAnsi="Times New Roman" w:cs="Times New Roman"/>
      <w:b/>
      <w:bCs/>
      <w:color w:val="auto"/>
      <w:sz w:val="28"/>
      <w:szCs w:val="28"/>
      <w:lang w:eastAsia="en-US" w:bidi="ar-SA"/>
    </w:rPr>
  </w:style>
  <w:style w:type="paragraph" w:customStyle="1" w:styleId="22">
    <w:name w:val="Колонтитул (2)"/>
    <w:basedOn w:val="a"/>
    <w:link w:val="21"/>
    <w:rsid w:val="00F928CF"/>
    <w:pPr>
      <w:shd w:val="clear" w:color="auto" w:fill="FFFFFF"/>
      <w:spacing w:line="0" w:lineRule="atLeast"/>
    </w:pPr>
    <w:rPr>
      <w:rFonts w:ascii="Franklin Gothic Book" w:eastAsia="Franklin Gothic Book" w:hAnsi="Franklin Gothic Book" w:cs="Franklin Gothic Book"/>
      <w:color w:val="auto"/>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 Смирнов</dc:creator>
  <cp:keywords/>
  <dc:description/>
  <cp:lastModifiedBy>Николай В. Смирнов</cp:lastModifiedBy>
  <cp:revision>1</cp:revision>
  <dcterms:created xsi:type="dcterms:W3CDTF">2019-02-14T07:19:00Z</dcterms:created>
  <dcterms:modified xsi:type="dcterms:W3CDTF">2019-02-14T07:24:00Z</dcterms:modified>
</cp:coreProperties>
</file>