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8237B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8237B">
        <w:rPr>
          <w:sz w:val="26"/>
          <w:szCs w:val="26"/>
          <w:u w:val="single"/>
        </w:rPr>
        <w:t>1271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78237B" w:rsidRPr="0078237B" w:rsidRDefault="0078237B" w:rsidP="0078237B">
      <w:pPr>
        <w:pStyle w:val="40"/>
        <w:shd w:val="clear" w:color="auto" w:fill="auto"/>
        <w:spacing w:before="0" w:line="240" w:lineRule="auto"/>
        <w:rPr>
          <w:bCs w:val="0"/>
          <w:color w:val="000000"/>
          <w:sz w:val="26"/>
          <w:szCs w:val="26"/>
          <w:lang w:bidi="ru-RU"/>
        </w:rPr>
      </w:pPr>
      <w:r w:rsidRPr="0078237B">
        <w:rPr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sz w:val="26"/>
          <w:szCs w:val="26"/>
        </w:rPr>
        <w:br/>
      </w:r>
      <w:r w:rsidRPr="0078237B">
        <w:rPr>
          <w:sz w:val="26"/>
          <w:szCs w:val="26"/>
        </w:rPr>
        <w:t xml:space="preserve">город Шахунья Нижегородской области </w:t>
      </w:r>
      <w:r w:rsidRPr="0078237B">
        <w:rPr>
          <w:color w:val="000000"/>
          <w:sz w:val="26"/>
          <w:szCs w:val="26"/>
          <w:lang w:bidi="ru-RU"/>
        </w:rPr>
        <w:t>от 03.02.2021 № 125</w:t>
      </w:r>
      <w:r w:rsidRPr="0078237B">
        <w:rPr>
          <w:sz w:val="26"/>
          <w:szCs w:val="26"/>
        </w:rPr>
        <w:t xml:space="preserve"> «О </w:t>
      </w:r>
      <w:r w:rsidRPr="0078237B">
        <w:rPr>
          <w:bCs w:val="0"/>
          <w:color w:val="000000"/>
          <w:sz w:val="26"/>
          <w:szCs w:val="26"/>
          <w:lang w:bidi="ru-RU"/>
        </w:rPr>
        <w:t xml:space="preserve">создании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</w:t>
      </w:r>
      <w:r>
        <w:rPr>
          <w:bCs w:val="0"/>
          <w:color w:val="000000"/>
          <w:sz w:val="26"/>
          <w:szCs w:val="26"/>
          <w:lang w:bidi="ru-RU"/>
        </w:rPr>
        <w:br/>
      </w:r>
      <w:r w:rsidRPr="0078237B">
        <w:rPr>
          <w:bCs w:val="0"/>
          <w:color w:val="000000"/>
          <w:sz w:val="26"/>
          <w:szCs w:val="26"/>
          <w:lang w:bidi="ru-RU"/>
        </w:rPr>
        <w:t>округа город Шахунья»</w:t>
      </w:r>
    </w:p>
    <w:p w:rsidR="0078237B" w:rsidRPr="0078237B" w:rsidRDefault="0078237B" w:rsidP="0078237B">
      <w:pPr>
        <w:pStyle w:val="af3"/>
        <w:rPr>
          <w:rFonts w:ascii="Times New Roman" w:hAnsi="Times New Roman"/>
          <w:sz w:val="26"/>
          <w:szCs w:val="26"/>
        </w:rPr>
      </w:pPr>
    </w:p>
    <w:p w:rsidR="0078237B" w:rsidRPr="0078237B" w:rsidRDefault="0078237B" w:rsidP="0078237B">
      <w:pPr>
        <w:pStyle w:val="af3"/>
        <w:rPr>
          <w:rFonts w:ascii="Times New Roman" w:hAnsi="Times New Roman"/>
          <w:sz w:val="26"/>
          <w:szCs w:val="26"/>
        </w:rPr>
      </w:pPr>
    </w:p>
    <w:p w:rsidR="0078237B" w:rsidRPr="0078237B" w:rsidRDefault="0078237B" w:rsidP="0078237B">
      <w:pPr>
        <w:pStyle w:val="23"/>
        <w:shd w:val="clear" w:color="auto" w:fill="auto"/>
        <w:spacing w:before="0" w:after="0" w:line="360" w:lineRule="exact"/>
        <w:ind w:firstLine="709"/>
        <w:rPr>
          <w:rStyle w:val="23pt"/>
          <w:sz w:val="26"/>
          <w:szCs w:val="26"/>
        </w:rPr>
      </w:pPr>
      <w:r w:rsidRPr="0078237B">
        <w:rPr>
          <w:color w:val="000000"/>
          <w:lang w:bidi="ru-RU"/>
        </w:rPr>
        <w:t xml:space="preserve">В соответствии с кадровыми изменениями администрация городского округа город Шахунья </w:t>
      </w:r>
      <w:r>
        <w:rPr>
          <w:color w:val="000000"/>
          <w:lang w:bidi="ru-RU"/>
        </w:rPr>
        <w:t xml:space="preserve"> </w:t>
      </w:r>
      <w:r w:rsidRPr="0078237B">
        <w:rPr>
          <w:rStyle w:val="23pt"/>
          <w:sz w:val="26"/>
          <w:szCs w:val="26"/>
        </w:rPr>
        <w:t>постановляет:</w:t>
      </w:r>
    </w:p>
    <w:p w:rsidR="0078237B" w:rsidRPr="0078237B" w:rsidRDefault="0078237B" w:rsidP="0078237B">
      <w:pPr>
        <w:pStyle w:val="23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360" w:lineRule="exact"/>
        <w:ind w:left="0" w:firstLine="709"/>
      </w:pPr>
      <w:proofErr w:type="gramStart"/>
      <w:r w:rsidRPr="0078237B">
        <w:rPr>
          <w:color w:val="000000"/>
          <w:lang w:bidi="ru-RU"/>
        </w:rPr>
        <w:t>Внести изменения в постановление администрации городского округа город Шахунья Нижегородской области от 03.02.2021 № 125 «О создании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Шахунья» (с изменениями от 15.08.2022 № 903), изложив Состав межведомственной комиссии по взаимодействию при реализации на территории</w:t>
      </w:r>
      <w:proofErr w:type="gramEnd"/>
      <w:r w:rsidRPr="0078237B">
        <w:rPr>
          <w:color w:val="000000"/>
          <w:lang w:bidi="ru-RU"/>
        </w:rPr>
        <w:t xml:space="preserve">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 в новой редакции:</w:t>
      </w:r>
    </w:p>
    <w:p w:rsidR="0078237B" w:rsidRPr="003B70F7" w:rsidRDefault="0078237B" w:rsidP="0078237B">
      <w:pPr>
        <w:pStyle w:val="af3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Дахно Олег Александрович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>Глава местного самоуправления городского округа</w:t>
            </w:r>
            <w:r w:rsidRPr="003B70F7">
              <w:rPr>
                <w:sz w:val="24"/>
                <w:szCs w:val="24"/>
              </w:rPr>
              <w:br/>
              <w:t>город Шахунья, председатель Комиссии;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Епифанова Нина Николаевна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>Директор ГКУ «Управление социальной защиты</w:t>
            </w:r>
            <w:r w:rsidRPr="003B70F7">
              <w:rPr>
                <w:sz w:val="24"/>
                <w:szCs w:val="24"/>
              </w:rPr>
              <w:br/>
              <w:t>населения городского округа город Шахунья», заместитель председателя Комиссии (по согласованию);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Татаринова Ольга Дмитриевна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ГКУ «Управление социальной защиты</w:t>
            </w: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 городского округа город Шахунья»,</w:t>
            </w: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секретарь Комиссии (по согласованию);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Чубченко</w:t>
            </w:r>
            <w:proofErr w:type="spellEnd"/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Яковлевна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>Руководитель бюро № 23 - филиал ФКАУ «ГБ МСЭ по</w:t>
            </w:r>
            <w:r w:rsidRPr="003B70F7">
              <w:rPr>
                <w:sz w:val="24"/>
                <w:szCs w:val="24"/>
              </w:rPr>
              <w:br/>
              <w:t>Нижегородской области» (по согласованию);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Золотов Сергей Николаевич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>Главный врач ГБУЗ НО «Шахунская ЦРБ» (по</w:t>
            </w:r>
            <w:r w:rsidRPr="003B70F7">
              <w:rPr>
                <w:sz w:val="24"/>
                <w:szCs w:val="24"/>
              </w:rPr>
              <w:br/>
              <w:t>согласованию);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</w:t>
            </w:r>
            <w:r w:rsidRPr="003B70F7">
              <w:rPr>
                <w:sz w:val="24"/>
                <w:szCs w:val="24"/>
              </w:rPr>
              <w:t xml:space="preserve"> управления экономики, прогнозирования,</w:t>
            </w:r>
            <w:r w:rsidRPr="003B70F7">
              <w:rPr>
                <w:sz w:val="24"/>
                <w:szCs w:val="24"/>
              </w:rPr>
              <w:br/>
              <w:t>инвестиционной политики и муниципального</w:t>
            </w:r>
            <w:r w:rsidRPr="003B70F7">
              <w:rPr>
                <w:sz w:val="24"/>
                <w:szCs w:val="24"/>
              </w:rPr>
              <w:br/>
              <w:t>имущества городского округа город Шахунья;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Багерян</w:t>
            </w:r>
            <w:proofErr w:type="spellEnd"/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Гилимзяновна</w:t>
            </w:r>
            <w:proofErr w:type="spellEnd"/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>Начальник управления образования администрации</w:t>
            </w:r>
            <w:r w:rsidRPr="003B70F7">
              <w:rPr>
                <w:sz w:val="24"/>
                <w:szCs w:val="24"/>
              </w:rPr>
              <w:br/>
              <w:t>городского округа город Шахунья;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Александр Геннадьевич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>Директор МКУК «Центр организационно-методической</w:t>
            </w:r>
            <w:r w:rsidRPr="003B70F7">
              <w:rPr>
                <w:sz w:val="24"/>
                <w:szCs w:val="24"/>
              </w:rPr>
              <w:br/>
              <w:t>работы учреждений культуры городского округа город</w:t>
            </w:r>
            <w:r w:rsidRPr="003B70F7">
              <w:rPr>
                <w:sz w:val="24"/>
                <w:szCs w:val="24"/>
              </w:rPr>
              <w:br/>
              <w:t>Шахунья;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Роман Сергеевич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>Начальник сектора по поддержке малого бизнеса и</w:t>
            </w:r>
            <w:r w:rsidRPr="003B70F7">
              <w:rPr>
                <w:sz w:val="24"/>
                <w:szCs w:val="24"/>
              </w:rPr>
              <w:br/>
              <w:t>развития предпринимательства администрации</w:t>
            </w:r>
            <w:r w:rsidRPr="003B70F7">
              <w:rPr>
                <w:sz w:val="24"/>
                <w:szCs w:val="24"/>
              </w:rPr>
              <w:br/>
              <w:t>городского округа город Шахунья;</w:t>
            </w:r>
          </w:p>
        </w:tc>
      </w:tr>
      <w:tr w:rsidR="0078237B" w:rsidRPr="003B70F7" w:rsidTr="00397629">
        <w:tc>
          <w:tcPr>
            <w:tcW w:w="2835" w:type="dxa"/>
          </w:tcPr>
          <w:p w:rsidR="0078237B" w:rsidRPr="003B70F7" w:rsidRDefault="0078237B" w:rsidP="00397629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Мезенцева Наталья Романовна</w:t>
            </w:r>
          </w:p>
        </w:tc>
        <w:tc>
          <w:tcPr>
            <w:tcW w:w="7088" w:type="dxa"/>
          </w:tcPr>
          <w:p w:rsidR="0078237B" w:rsidRPr="003B70F7" w:rsidRDefault="0078237B" w:rsidP="00397629">
            <w:pPr>
              <w:pStyle w:val="23"/>
              <w:shd w:val="clear" w:color="auto" w:fill="auto"/>
              <w:spacing w:before="0" w:after="0" w:line="331" w:lineRule="exact"/>
              <w:ind w:left="34"/>
              <w:rPr>
                <w:sz w:val="24"/>
                <w:szCs w:val="24"/>
              </w:rPr>
            </w:pPr>
            <w:r w:rsidRPr="003B70F7">
              <w:rPr>
                <w:sz w:val="24"/>
                <w:szCs w:val="24"/>
              </w:rPr>
              <w:t xml:space="preserve">Карьерный консультант </w:t>
            </w:r>
            <w:proofErr w:type="spellStart"/>
            <w:r w:rsidRPr="003B70F7">
              <w:rPr>
                <w:sz w:val="24"/>
                <w:szCs w:val="24"/>
              </w:rPr>
              <w:t>Шахунского</w:t>
            </w:r>
            <w:proofErr w:type="spellEnd"/>
            <w:r w:rsidRPr="003B70F7">
              <w:rPr>
                <w:sz w:val="24"/>
                <w:szCs w:val="24"/>
              </w:rPr>
              <w:t xml:space="preserve"> отделения Государственного казенного учреждения Нижегородской области «Нижегородский центр занятости населения» (по согласованию).</w:t>
            </w:r>
          </w:p>
        </w:tc>
      </w:tr>
    </w:tbl>
    <w:p w:rsidR="0078237B" w:rsidRPr="003B70F7" w:rsidRDefault="0078237B" w:rsidP="0078237B">
      <w:pPr>
        <w:pStyle w:val="af3"/>
        <w:rPr>
          <w:sz w:val="24"/>
          <w:szCs w:val="24"/>
        </w:rPr>
      </w:pPr>
    </w:p>
    <w:p w:rsidR="0078237B" w:rsidRPr="0078237B" w:rsidRDefault="0078237B" w:rsidP="0078237B">
      <w:pPr>
        <w:pStyle w:val="af3"/>
        <w:numPr>
          <w:ilvl w:val="0"/>
          <w:numId w:val="26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37B">
        <w:rPr>
          <w:rFonts w:ascii="Times New Roman" w:eastAsia="Times New Roman" w:hAnsi="Times New Roman"/>
          <w:sz w:val="26"/>
          <w:szCs w:val="26"/>
          <w:lang w:eastAsia="ru-RU"/>
        </w:rPr>
        <w:t>Общему отделу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78237B" w:rsidRPr="0078237B" w:rsidRDefault="0078237B" w:rsidP="0078237B">
      <w:pPr>
        <w:pStyle w:val="af3"/>
        <w:numPr>
          <w:ilvl w:val="0"/>
          <w:numId w:val="26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37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78237B" w:rsidRPr="0078237B" w:rsidRDefault="0078237B" w:rsidP="0078237B">
      <w:pPr>
        <w:pStyle w:val="af3"/>
        <w:numPr>
          <w:ilvl w:val="0"/>
          <w:numId w:val="26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8237B">
        <w:rPr>
          <w:rFonts w:ascii="Times New Roman" w:eastAsia="Times New Roman" w:hAnsi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</w:t>
      </w:r>
      <w:r w:rsidRPr="0078237B">
        <w:rPr>
          <w:rFonts w:ascii="Times New Roman" w:hAnsi="Times New Roman"/>
          <w:color w:val="000000"/>
          <w:sz w:val="26"/>
          <w:szCs w:val="26"/>
          <w:lang w:bidi="ru-RU"/>
        </w:rPr>
        <w:t xml:space="preserve"> 15.08.2022 № 903 «О внесении изменения в постановление администрации городского округа город Шахунья Нижегородской области от 03.02.2021 № 125 «О создании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</w:t>
      </w:r>
      <w:proofErr w:type="gramEnd"/>
      <w:r w:rsidRPr="0078237B">
        <w:rPr>
          <w:rFonts w:ascii="Times New Roman" w:hAnsi="Times New Roman"/>
          <w:color w:val="000000"/>
          <w:sz w:val="26"/>
          <w:szCs w:val="26"/>
          <w:lang w:bidi="ru-RU"/>
        </w:rPr>
        <w:t xml:space="preserve"> раза в границах городского округа город Шахунья».</w:t>
      </w:r>
    </w:p>
    <w:p w:rsidR="0078237B" w:rsidRPr="0078237B" w:rsidRDefault="0078237B" w:rsidP="0078237B">
      <w:pPr>
        <w:pStyle w:val="af3"/>
        <w:numPr>
          <w:ilvl w:val="0"/>
          <w:numId w:val="26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8237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8237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78237B" w:rsidRDefault="0078237B" w:rsidP="004D2212">
      <w:pPr>
        <w:jc w:val="both"/>
        <w:rPr>
          <w:sz w:val="22"/>
          <w:szCs w:val="22"/>
        </w:rPr>
      </w:pPr>
    </w:p>
    <w:p w:rsidR="00FD5917" w:rsidRDefault="00FD5917" w:rsidP="00FD5917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FD5917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90" w:rsidRDefault="00320E90">
      <w:r>
        <w:separator/>
      </w:r>
    </w:p>
  </w:endnote>
  <w:endnote w:type="continuationSeparator" w:id="0">
    <w:p w:rsidR="00320E90" w:rsidRDefault="003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90" w:rsidRDefault="00320E90">
      <w:r>
        <w:separator/>
      </w:r>
    </w:p>
  </w:footnote>
  <w:footnote w:type="continuationSeparator" w:id="0">
    <w:p w:rsidR="00320E90" w:rsidRDefault="0032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D"/>
    <w:multiLevelType w:val="multilevel"/>
    <w:tmpl w:val="08E82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3"/>
  </w:num>
  <w:num w:numId="10">
    <w:abstractNumId w:val="24"/>
  </w:num>
  <w:num w:numId="11">
    <w:abstractNumId w:val="1"/>
  </w:num>
  <w:num w:numId="12">
    <w:abstractNumId w:val="13"/>
  </w:num>
  <w:num w:numId="13">
    <w:abstractNumId w:val="17"/>
  </w:num>
  <w:num w:numId="14">
    <w:abstractNumId w:val="4"/>
  </w:num>
  <w:num w:numId="15">
    <w:abstractNumId w:val="19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9"/>
  </w:num>
  <w:num w:numId="25">
    <w:abstractNumId w:val="10"/>
  </w:num>
  <w:num w:numId="26">
    <w:abstractNumId w:val="7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0E90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37B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5F62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">
    <w:name w:val="Основной текст (4)_"/>
    <w:basedOn w:val="a0"/>
    <w:link w:val="40"/>
    <w:rsid w:val="0078237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37B"/>
    <w:pPr>
      <w:widowControl w:val="0"/>
      <w:shd w:val="clear" w:color="auto" w:fill="FFFFFF"/>
      <w:spacing w:before="600" w:line="293" w:lineRule="exact"/>
      <w:jc w:val="center"/>
    </w:pPr>
    <w:rPr>
      <w:b/>
      <w:bCs/>
      <w:sz w:val="20"/>
      <w:szCs w:val="20"/>
    </w:rPr>
  </w:style>
  <w:style w:type="character" w:customStyle="1" w:styleId="23pt">
    <w:name w:val="Основной текст (2) + Полужирный;Интервал 3 pt"/>
    <w:basedOn w:val="22"/>
    <w:rsid w:val="0078237B"/>
    <w:rPr>
      <w:rFonts w:eastAsia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BCC0-D416-4B9A-AEDC-EF3FBAC4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2022-11-09T05:33:00Z</cp:lastPrinted>
  <dcterms:created xsi:type="dcterms:W3CDTF">2022-11-09T05:34:00Z</dcterms:created>
  <dcterms:modified xsi:type="dcterms:W3CDTF">2022-11-09T05:34:00Z</dcterms:modified>
</cp:coreProperties>
</file>