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B6BB2" w14:textId="5FD88B01" w:rsidR="00CF04CF" w:rsidRDefault="00CF04CF" w:rsidP="00CF04CF">
      <w:pPr>
        <w:widowControl w:val="0"/>
        <w:spacing w:after="0" w:line="240" w:lineRule="auto"/>
        <w:jc w:val="center"/>
        <w:rPr>
          <w:b/>
          <w:bCs/>
        </w:rPr>
      </w:pPr>
      <w:r w:rsidRPr="00703602">
        <w:rPr>
          <w:noProof/>
        </w:rPr>
        <w:drawing>
          <wp:inline distT="0" distB="0" distL="0" distR="0" wp14:anchorId="1F468896" wp14:editId="6FF2A6F9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99D8D" w14:textId="77777777" w:rsidR="00CF04CF" w:rsidRPr="00BC61ED" w:rsidRDefault="00CF04CF" w:rsidP="00CF04CF">
      <w:pPr>
        <w:widowControl w:val="0"/>
        <w:spacing w:after="0" w:line="240" w:lineRule="auto"/>
        <w:jc w:val="center"/>
        <w:rPr>
          <w:b/>
          <w:bCs/>
        </w:rPr>
      </w:pPr>
    </w:p>
    <w:p w14:paraId="71222A6A" w14:textId="77777777" w:rsidR="00CF04CF" w:rsidRPr="00CF04CF" w:rsidRDefault="00CF04CF" w:rsidP="00CF0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4CF">
        <w:rPr>
          <w:rFonts w:ascii="Times New Roman" w:hAnsi="Times New Roman" w:cs="Times New Roman"/>
          <w:b/>
          <w:bCs/>
          <w:sz w:val="24"/>
          <w:szCs w:val="24"/>
        </w:rPr>
        <w:t>СОВЕТ ДЕПУТАТОВ ГОРОДСКОГО ОКРУГА ГОРОД ШАХУНЬЯ</w:t>
      </w:r>
    </w:p>
    <w:p w14:paraId="46C2181F" w14:textId="77777777" w:rsidR="00CF04CF" w:rsidRPr="00CF04CF" w:rsidRDefault="00CF04CF" w:rsidP="00CF0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CF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14:paraId="3E831329" w14:textId="77777777" w:rsidR="00CF04CF" w:rsidRDefault="00CF04CF" w:rsidP="00CF04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F52003" w14:textId="06567996" w:rsidR="00CF04CF" w:rsidRPr="00CF04CF" w:rsidRDefault="00CF04CF" w:rsidP="00CF04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04CF">
        <w:rPr>
          <w:rFonts w:ascii="Times New Roman" w:hAnsi="Times New Roman" w:cs="Times New Roman"/>
          <w:b/>
          <w:color w:val="000000"/>
          <w:sz w:val="24"/>
          <w:szCs w:val="24"/>
        </w:rPr>
        <w:t>Р Е Ш Е Н И Е</w:t>
      </w:r>
    </w:p>
    <w:p w14:paraId="72D9EAFA" w14:textId="77777777" w:rsidR="00CF04CF" w:rsidRPr="00CF04CF" w:rsidRDefault="00CF04CF" w:rsidP="00CF04C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187B7F" w14:textId="6C530B6D" w:rsidR="00CF04CF" w:rsidRPr="00CF04CF" w:rsidRDefault="00CF04CF" w:rsidP="00CF04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4CF">
        <w:rPr>
          <w:rFonts w:ascii="Times New Roman" w:hAnsi="Times New Roman" w:cs="Times New Roman"/>
          <w:sz w:val="24"/>
          <w:szCs w:val="24"/>
        </w:rPr>
        <w:t>от 2</w:t>
      </w:r>
      <w:r w:rsidR="001C79BE">
        <w:rPr>
          <w:rFonts w:ascii="Times New Roman" w:hAnsi="Times New Roman" w:cs="Times New Roman"/>
          <w:sz w:val="24"/>
          <w:szCs w:val="24"/>
        </w:rPr>
        <w:t>9</w:t>
      </w:r>
      <w:r w:rsidRPr="00CF04CF">
        <w:rPr>
          <w:rFonts w:ascii="Times New Roman" w:hAnsi="Times New Roman" w:cs="Times New Roman"/>
          <w:sz w:val="24"/>
          <w:szCs w:val="24"/>
        </w:rPr>
        <w:t xml:space="preserve"> апреля 2022 года                                                                                                          №7</w:t>
      </w:r>
      <w:r w:rsidR="001C79BE">
        <w:rPr>
          <w:rFonts w:ascii="Times New Roman" w:hAnsi="Times New Roman" w:cs="Times New Roman"/>
          <w:sz w:val="24"/>
          <w:szCs w:val="24"/>
        </w:rPr>
        <w:t>7</w:t>
      </w:r>
      <w:r w:rsidRPr="00CF04CF">
        <w:rPr>
          <w:rFonts w:ascii="Times New Roman" w:hAnsi="Times New Roman" w:cs="Times New Roman"/>
          <w:sz w:val="24"/>
          <w:szCs w:val="24"/>
        </w:rPr>
        <w:t>-</w:t>
      </w:r>
      <w:r w:rsidR="001C79BE">
        <w:rPr>
          <w:rFonts w:ascii="Times New Roman" w:hAnsi="Times New Roman" w:cs="Times New Roman"/>
          <w:sz w:val="24"/>
          <w:szCs w:val="24"/>
        </w:rPr>
        <w:t>1</w:t>
      </w:r>
    </w:p>
    <w:p w14:paraId="7EAA5929" w14:textId="0EE5FE48" w:rsidR="00D0201D" w:rsidRDefault="00D0201D" w:rsidP="00CF04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58D9D0" w14:textId="77777777" w:rsidR="00CF04CF" w:rsidRPr="00D0201D" w:rsidRDefault="00CF04CF" w:rsidP="00CF04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F7F73F" w14:textId="43933514" w:rsidR="00D0201D" w:rsidRPr="00CF04CF" w:rsidRDefault="00D0201D" w:rsidP="007C627E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об итогах деятельности Управления экономики, прогнозирования, инвестиционной</w:t>
      </w:r>
      <w:r w:rsidR="0012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и муниципального имущества</w:t>
      </w:r>
      <w:r w:rsidR="0012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A437F3" w:rsidRPr="00CF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Шахунья Нижегородской области </w:t>
      </w:r>
      <w:r w:rsidR="003C34E2" w:rsidRPr="00CF04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25D50162" w14:textId="1AA1C4FC" w:rsidR="00D0201D" w:rsidRDefault="00D0201D" w:rsidP="00D020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EB942" w14:textId="77777777" w:rsidR="00CF04CF" w:rsidRPr="00CF04CF" w:rsidRDefault="00CF04CF" w:rsidP="00D020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2C9BD" w14:textId="2BC891E0" w:rsidR="00D0201D" w:rsidRPr="00CF04CF" w:rsidRDefault="00CF04CF" w:rsidP="00CF04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201D" w:rsidRPr="00CF04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городского округа город Шахунья Нижегородской области, решением Совета депутатов городского округа город Шахунья Нижегородской области от 22.02.2019 года № 25-12 «О переименовании Комитета муниципального имущества и земельных ресурсов городского округа город Шахунья Нижегородской области в Управление экономики, прогнозирования, инвестиционной политики и муниципального имущества городского округа город Шахунья Нижегородской области и утверждения Положения о нем»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8910CF9" w14:textId="77777777" w:rsidR="00CF04CF" w:rsidRPr="00CF04CF" w:rsidRDefault="00CF04CF" w:rsidP="00CF04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26041" w14:textId="10E42050" w:rsidR="00D0201D" w:rsidRPr="00CF04CF" w:rsidRDefault="00D0201D" w:rsidP="00CF04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Pr="00CF0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30D37C8C" w14:textId="77777777" w:rsidR="00D0201D" w:rsidRPr="00CF04CF" w:rsidRDefault="00D0201D" w:rsidP="00CF0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DE605" w14:textId="75681F74" w:rsidR="00D0201D" w:rsidRPr="00CF04CF" w:rsidRDefault="00CF04CF" w:rsidP="00CF0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201D" w:rsidRPr="00CF04CF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1.Принять к сведению отчёт об итогах деятельности Управления экономики, прогнозирования, инвестиционной политики и муниципального имущества городского округа город Шахун</w:t>
      </w:r>
      <w:r w:rsidR="003C34E2" w:rsidRPr="00CF04CF">
        <w:rPr>
          <w:rFonts w:ascii="Times New Roman" w:eastAsia="Times New Roman" w:hAnsi="Times New Roman" w:cs="Times New Roman"/>
          <w:sz w:val="24"/>
          <w:szCs w:val="24"/>
          <w:lang w:eastAsia="ru-RU"/>
        </w:rPr>
        <w:t>ья Нижегородской области за 2021</w:t>
      </w:r>
      <w:r w:rsidR="00D0201D" w:rsidRPr="00CF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794E1B84" w14:textId="368BAE56" w:rsidR="00D0201D" w:rsidRPr="00CF04CF" w:rsidRDefault="00CF04CF" w:rsidP="00CF04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04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D0201D" w:rsidRPr="00CF04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</w:p>
    <w:p w14:paraId="44827EA7" w14:textId="558F3ED2" w:rsidR="00D0201D" w:rsidRDefault="00D0201D" w:rsidP="00CF04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F9F0060" w14:textId="51DE3CB7" w:rsidR="00561639" w:rsidRDefault="00561639" w:rsidP="00CF04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5CC0A27" w14:textId="77777777" w:rsidR="00561639" w:rsidRDefault="00561639" w:rsidP="00CF04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552EFE2" w14:textId="77777777" w:rsidR="00561639" w:rsidRPr="00561639" w:rsidRDefault="00561639" w:rsidP="00561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19C983D3" w14:textId="77777777" w:rsidR="00561639" w:rsidRPr="00561639" w:rsidRDefault="00561639" w:rsidP="00561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62D2FD82" w14:textId="77777777" w:rsidR="00561639" w:rsidRPr="00A3082A" w:rsidRDefault="00561639" w:rsidP="00561639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  <w:sz w:val="24"/>
        </w:rPr>
      </w:pPr>
      <w:r w:rsidRPr="00561639">
        <w:rPr>
          <w:rFonts w:ascii="Times New Roman" w:hAnsi="Times New Roman" w:cs="Times New Roman"/>
          <w:sz w:val="24"/>
          <w:szCs w:val="24"/>
        </w:rPr>
        <w:t>Нижегородской области                                                                                             О.А. Дахно</w:t>
      </w:r>
    </w:p>
    <w:p w14:paraId="11238493" w14:textId="77777777" w:rsidR="00CF04CF" w:rsidRPr="00CF04CF" w:rsidRDefault="00CF04CF" w:rsidP="00CF04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D41B57E" w14:textId="77777777" w:rsidR="00D0201D" w:rsidRPr="00CF04CF" w:rsidRDefault="00D0201D" w:rsidP="00D0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24EFD13" w14:textId="322B5FAE" w:rsidR="00AA2DE3" w:rsidRPr="00CF04CF" w:rsidRDefault="00AA2DE3" w:rsidP="00CF04CF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04609D5" w14:textId="7A3EC818" w:rsidR="00741962" w:rsidRPr="00CF04CF" w:rsidRDefault="00CF04CF" w:rsidP="007419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</w:t>
      </w:r>
    </w:p>
    <w:p w14:paraId="79F40CB0" w14:textId="77777777" w:rsidR="00741962" w:rsidRPr="00CF04CF" w:rsidRDefault="00741962" w:rsidP="007419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деятельности Управления экономики, прогнозирования, инвестиционной политики и муниципального имущества городского округа город Шахунья Нижегородской области </w:t>
      </w:r>
    </w:p>
    <w:p w14:paraId="2297B3C0" w14:textId="77777777" w:rsidR="00741962" w:rsidRPr="00CF04CF" w:rsidRDefault="009B16D0" w:rsidP="007419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3C34E2" w:rsidRPr="00CF0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CF0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962" w:rsidRPr="00CF0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14:paraId="30D79150" w14:textId="77777777" w:rsidR="00B91831" w:rsidRPr="00CF04CF" w:rsidRDefault="00B91831" w:rsidP="00332F72">
      <w:pPr>
        <w:spacing w:before="120" w:after="12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F04CF">
        <w:rPr>
          <w:rFonts w:ascii="Times New Roman" w:eastAsiaTheme="minorHAnsi" w:hAnsi="Times New Roman" w:cs="Times New Roman"/>
          <w:sz w:val="24"/>
          <w:szCs w:val="24"/>
        </w:rPr>
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  (далее – Управление) осуществляет свою деятельность на основании Положения об управлении, утвержденного решением Совета депутатов </w:t>
      </w:r>
      <w:r w:rsidR="00BB43E3" w:rsidRPr="00CF04CF">
        <w:rPr>
          <w:rFonts w:ascii="Times New Roman" w:eastAsiaTheme="minorHAnsi" w:hAnsi="Times New Roman" w:cs="Times New Roman"/>
          <w:sz w:val="24"/>
          <w:szCs w:val="24"/>
        </w:rPr>
        <w:t>городского округа город Шахунья Нижегородской области от 22.02.2019 № 25-12 «О переименовании Комитета муниципального имущества и земельных ресурсов городского округа город Шахунья Нижегородской области в Управление экономики, прогнозирования, инвестиционной политики и муниципального имущества городского округа город Шахунья Нижегородской области и утверждении Положения о нем».</w:t>
      </w:r>
    </w:p>
    <w:p w14:paraId="58EE6541" w14:textId="77777777" w:rsidR="00332F72" w:rsidRPr="00CF04CF" w:rsidRDefault="00332F72" w:rsidP="00332F72">
      <w:pPr>
        <w:spacing w:before="120" w:after="12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CF">
        <w:rPr>
          <w:rFonts w:ascii="Times New Roman" w:eastAsia="Calibri" w:hAnsi="Times New Roman" w:cs="Times New Roman"/>
          <w:sz w:val="24"/>
          <w:szCs w:val="24"/>
        </w:rPr>
        <w:t>Основная цель работы Управления – это обеспечение от имени городского округа город Шахунья реализации прав владения, пользования и распоряжения имуществом и земельными участками, находящимся в муниципальной собственности городского округа город Шахунья Нижегородской области, а также реализация полномочий по осуществлению единой политики социально – экономического развития городского округа.</w:t>
      </w:r>
    </w:p>
    <w:p w14:paraId="4CAF5B7C" w14:textId="77777777" w:rsidR="00384610" w:rsidRPr="00CF04CF" w:rsidRDefault="00384610" w:rsidP="00384610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F04CF">
        <w:rPr>
          <w:rFonts w:ascii="Times New Roman" w:eastAsiaTheme="minorHAnsi" w:hAnsi="Times New Roman" w:cs="Times New Roman"/>
          <w:sz w:val="24"/>
          <w:szCs w:val="24"/>
        </w:rPr>
        <w:t>В течение года Управлением проводился мониторинг социально-экономического развития городского округа: анализ</w:t>
      </w:r>
      <w:r w:rsidR="00D14B8F" w:rsidRPr="00CF04CF">
        <w:rPr>
          <w:rFonts w:ascii="Times New Roman" w:eastAsiaTheme="minorHAnsi" w:hAnsi="Times New Roman" w:cs="Times New Roman"/>
          <w:sz w:val="24"/>
          <w:szCs w:val="24"/>
        </w:rPr>
        <w:t xml:space="preserve"> объемов отгруженной продукции (товаров, работ и услуг), объемов инвестиций</w:t>
      </w:r>
      <w:r w:rsidRPr="00CF04CF">
        <w:rPr>
          <w:rFonts w:ascii="Times New Roman" w:eastAsiaTheme="minorHAnsi" w:hAnsi="Times New Roman" w:cs="Times New Roman"/>
          <w:sz w:val="24"/>
          <w:szCs w:val="24"/>
        </w:rPr>
        <w:t xml:space="preserve"> предприятий и организаций </w:t>
      </w:r>
      <w:r w:rsidR="00D14B8F" w:rsidRPr="00CF04CF">
        <w:rPr>
          <w:rFonts w:ascii="Times New Roman" w:eastAsiaTheme="minorHAnsi" w:hAnsi="Times New Roman" w:cs="Times New Roman"/>
          <w:sz w:val="24"/>
          <w:szCs w:val="24"/>
        </w:rPr>
        <w:t xml:space="preserve">городского округа город Шахунья </w:t>
      </w:r>
      <w:r w:rsidRPr="00CF04CF">
        <w:rPr>
          <w:rFonts w:ascii="Times New Roman" w:eastAsiaTheme="minorHAnsi" w:hAnsi="Times New Roman" w:cs="Times New Roman"/>
          <w:sz w:val="24"/>
          <w:szCs w:val="24"/>
        </w:rPr>
        <w:t>в разрезе по видам деятельности</w:t>
      </w:r>
      <w:r w:rsidR="00D14B8F" w:rsidRPr="00CF04CF">
        <w:rPr>
          <w:rFonts w:ascii="Times New Roman" w:eastAsiaTheme="minorHAnsi" w:hAnsi="Times New Roman" w:cs="Times New Roman"/>
          <w:sz w:val="24"/>
          <w:szCs w:val="24"/>
        </w:rPr>
        <w:t>, а также проводился мониторинг</w:t>
      </w:r>
      <w:r w:rsidRPr="00CF04CF">
        <w:rPr>
          <w:rFonts w:ascii="Times New Roman" w:eastAsiaTheme="minorHAnsi" w:hAnsi="Times New Roman" w:cs="Times New Roman"/>
          <w:sz w:val="24"/>
          <w:szCs w:val="24"/>
        </w:rPr>
        <w:t xml:space="preserve"> качества жизни населения и других показателей.</w:t>
      </w:r>
    </w:p>
    <w:p w14:paraId="7E557AF6" w14:textId="77777777" w:rsidR="004E0A74" w:rsidRPr="00CF04CF" w:rsidRDefault="004E0A74" w:rsidP="00384610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F04CF">
        <w:rPr>
          <w:rFonts w:ascii="Times New Roman" w:eastAsiaTheme="minorHAnsi" w:hAnsi="Times New Roman" w:cs="Times New Roman"/>
          <w:sz w:val="24"/>
          <w:szCs w:val="24"/>
        </w:rPr>
        <w:t xml:space="preserve">По оценке Министерства экономической развития и инвестиций Нижегородской области, уровень социально -  экономического развития городского округа город Шахунья за 2021 года по сумме интегральных показателей оценен как средний, округ занял </w:t>
      </w:r>
      <w:r w:rsidR="000307F2" w:rsidRPr="00CF04CF">
        <w:rPr>
          <w:rFonts w:ascii="Times New Roman" w:eastAsiaTheme="minorHAnsi" w:hAnsi="Times New Roman" w:cs="Times New Roman"/>
          <w:sz w:val="24"/>
          <w:szCs w:val="24"/>
        </w:rPr>
        <w:t>36</w:t>
      </w:r>
      <w:r w:rsidRPr="00CF04C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307F2" w:rsidRPr="00CF04CF">
        <w:rPr>
          <w:rFonts w:ascii="Times New Roman" w:eastAsiaTheme="minorHAnsi" w:hAnsi="Times New Roman" w:cs="Times New Roman"/>
          <w:sz w:val="24"/>
          <w:szCs w:val="24"/>
        </w:rPr>
        <w:t>место (по итогам 2020 года – 39</w:t>
      </w:r>
      <w:r w:rsidRPr="00CF04CF">
        <w:rPr>
          <w:rFonts w:ascii="Times New Roman" w:eastAsiaTheme="minorHAnsi" w:hAnsi="Times New Roman" w:cs="Times New Roman"/>
          <w:sz w:val="24"/>
          <w:szCs w:val="24"/>
        </w:rPr>
        <w:t xml:space="preserve"> место). По показателям, характеризующим наращивание налогового потенциала, городской округ среди 52 муниципальных образований округ по итогам </w:t>
      </w:r>
      <w:r w:rsidR="000307F2" w:rsidRPr="00CF04CF">
        <w:rPr>
          <w:rFonts w:ascii="Times New Roman" w:eastAsiaTheme="minorHAnsi" w:hAnsi="Times New Roman" w:cs="Times New Roman"/>
          <w:sz w:val="24"/>
          <w:szCs w:val="24"/>
        </w:rPr>
        <w:t>2021 года занимает 28 место (по итогам 2020</w:t>
      </w:r>
      <w:r w:rsidRPr="00CF04CF">
        <w:rPr>
          <w:rFonts w:ascii="Times New Roman" w:eastAsiaTheme="minorHAnsi" w:hAnsi="Times New Roman" w:cs="Times New Roman"/>
          <w:sz w:val="24"/>
          <w:szCs w:val="24"/>
        </w:rPr>
        <w:t xml:space="preserve"> года – </w:t>
      </w:r>
      <w:r w:rsidR="000307F2" w:rsidRPr="00CF04CF">
        <w:rPr>
          <w:rFonts w:ascii="Times New Roman" w:eastAsiaTheme="minorHAnsi" w:hAnsi="Times New Roman" w:cs="Times New Roman"/>
          <w:sz w:val="24"/>
          <w:szCs w:val="24"/>
        </w:rPr>
        <w:t>36</w:t>
      </w:r>
      <w:r w:rsidRPr="00CF04CF">
        <w:rPr>
          <w:rFonts w:ascii="Times New Roman" w:eastAsiaTheme="minorHAnsi" w:hAnsi="Times New Roman" w:cs="Times New Roman"/>
          <w:sz w:val="24"/>
          <w:szCs w:val="24"/>
        </w:rPr>
        <w:t xml:space="preserve"> место), по показателям, характеризующим урове</w:t>
      </w:r>
      <w:r w:rsidR="000307F2" w:rsidRPr="00CF04CF">
        <w:rPr>
          <w:rFonts w:ascii="Times New Roman" w:eastAsiaTheme="minorHAnsi" w:hAnsi="Times New Roman" w:cs="Times New Roman"/>
          <w:sz w:val="24"/>
          <w:szCs w:val="24"/>
        </w:rPr>
        <w:t>нь жизни, округ находиться на 45 месте (по итогам 2020 года – 50</w:t>
      </w:r>
      <w:r w:rsidRPr="00CF04CF">
        <w:rPr>
          <w:rFonts w:ascii="Times New Roman" w:eastAsiaTheme="minorHAnsi" w:hAnsi="Times New Roman" w:cs="Times New Roman"/>
          <w:sz w:val="24"/>
          <w:szCs w:val="24"/>
        </w:rPr>
        <w:t xml:space="preserve"> место).</w:t>
      </w:r>
    </w:p>
    <w:p w14:paraId="305B242F" w14:textId="77777777" w:rsidR="001F702D" w:rsidRPr="00CF04CF" w:rsidRDefault="001F702D" w:rsidP="001F702D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F04CF">
        <w:rPr>
          <w:rFonts w:ascii="Times New Roman" w:eastAsiaTheme="minorHAnsi" w:hAnsi="Times New Roman" w:cs="Times New Roman"/>
          <w:sz w:val="24"/>
          <w:szCs w:val="24"/>
        </w:rPr>
        <w:t xml:space="preserve">По предварительным данным численность населения городского округа город Шахунья по состоянию на 01 января 2022 года составила   33 988 человек. </w:t>
      </w:r>
    </w:p>
    <w:p w14:paraId="3387D972" w14:textId="77777777" w:rsidR="001F702D" w:rsidRPr="00CF04CF" w:rsidRDefault="001F702D" w:rsidP="001F702D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F04CF">
        <w:rPr>
          <w:rFonts w:ascii="Times New Roman" w:eastAsiaTheme="minorHAnsi" w:hAnsi="Times New Roman" w:cs="Times New Roman"/>
          <w:sz w:val="24"/>
          <w:szCs w:val="24"/>
        </w:rPr>
        <w:t>Численность населения округа сократилась за 2021 год на 466 человек, за 2020 год – на 413 человек. На демографическую ситуацию оказывают влияние демографические и миграционные процессы. В 2021 году родилось 283 младенцев, что на 7 младенцев меньше, чем в 2020 году. Умерло 729 человека, что на 26 человек больше уровня 2020 года. Исходя из этого, естественная убыль населения в 2021 году составила 446 человек, в 2020 году 413 человек.</w:t>
      </w:r>
    </w:p>
    <w:p w14:paraId="7DADB0FE" w14:textId="77777777" w:rsidR="001F702D" w:rsidRPr="00CF04CF" w:rsidRDefault="001F702D" w:rsidP="001F702D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F04CF">
        <w:rPr>
          <w:rFonts w:ascii="Times New Roman" w:eastAsiaTheme="minorHAnsi" w:hAnsi="Times New Roman" w:cs="Times New Roman"/>
          <w:sz w:val="24"/>
          <w:szCs w:val="24"/>
        </w:rPr>
        <w:t>За 2021 год в округ прибыло 1347 человек, выехало – 1367 человек, миграционная убыль составила – 20 человек. В 2020 году прибыло и выехало из городского округа равное количество людей.</w:t>
      </w:r>
    </w:p>
    <w:p w14:paraId="0B6C0487" w14:textId="77777777" w:rsidR="002B4C3A" w:rsidRPr="00CF04CF" w:rsidRDefault="001F702D" w:rsidP="002B4C3A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F04CF">
        <w:rPr>
          <w:rFonts w:ascii="Times New Roman" w:eastAsiaTheme="minorHAnsi" w:hAnsi="Times New Roman" w:cs="Times New Roman"/>
          <w:sz w:val="24"/>
          <w:szCs w:val="24"/>
        </w:rPr>
        <w:lastRenderedPageBreak/>
        <w:t>По итогам 2021 года численность официально зарегистрированных безработных по состоянию на 31 декабря 2021 года - 69 человек (на 31.12.2020 года – 151 человек), уровень регистрируемой безработицы по итогам года составил 0,37 % (2020 год - 0,8%).</w:t>
      </w:r>
    </w:p>
    <w:p w14:paraId="49F65315" w14:textId="77777777" w:rsidR="00372C2C" w:rsidRPr="00CF04CF" w:rsidRDefault="00372C2C" w:rsidP="00372C2C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экономическая сит</w:t>
      </w:r>
      <w:r w:rsidR="00A94CC6" w:rsidRPr="00CF04CF">
        <w:rPr>
          <w:rFonts w:ascii="Times New Roman" w:eastAsia="Times New Roman" w:hAnsi="Times New Roman" w:cs="Times New Roman"/>
          <w:sz w:val="24"/>
          <w:szCs w:val="24"/>
          <w:lang w:eastAsia="ru-RU"/>
        </w:rPr>
        <w:t>уация в городском округе за 2021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характеризуется следующими основными показателями:</w:t>
      </w:r>
    </w:p>
    <w:p w14:paraId="09DE34A2" w14:textId="77777777" w:rsidR="001F702D" w:rsidRPr="00CF04CF" w:rsidRDefault="001F702D" w:rsidP="001F702D">
      <w:pPr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F04CF">
        <w:rPr>
          <w:rFonts w:ascii="Times New Roman" w:eastAsiaTheme="minorHAnsi" w:hAnsi="Times New Roman" w:cs="Times New Roman"/>
          <w:sz w:val="24"/>
          <w:szCs w:val="24"/>
        </w:rPr>
        <w:t xml:space="preserve">Предприятиями и организациями городского округа город Шахунья отгружено товаров собственного производства, выполнено работ и услуг собственными силами на сумму 8 202 млн. руб., что выше уровня 2020 года на 25,2%. </w:t>
      </w:r>
    </w:p>
    <w:p w14:paraId="2C95E2D3" w14:textId="77777777" w:rsidR="001F702D" w:rsidRPr="00CF04CF" w:rsidRDefault="001F702D" w:rsidP="001F702D">
      <w:pPr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F04CF">
        <w:rPr>
          <w:rFonts w:ascii="Times New Roman" w:eastAsiaTheme="minorHAnsi" w:hAnsi="Times New Roman" w:cs="Times New Roman"/>
          <w:sz w:val="24"/>
          <w:szCs w:val="24"/>
        </w:rPr>
        <w:t xml:space="preserve">По итогам 2021 года рост объемов отгруженной продукции превысил уровень 2020 года только по крупным и средним предприятиям городского округа (132,8 %), а по предприятиям, относящимся к субъектам малого предпринимательства объем отгруженной продукции по итогам 2021 года ниже уровня 2020 года (91,8%). </w:t>
      </w:r>
    </w:p>
    <w:p w14:paraId="0D2B866E" w14:textId="77777777" w:rsidR="001F702D" w:rsidRPr="00CF04CF" w:rsidRDefault="001F702D" w:rsidP="001F702D">
      <w:pPr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F04CF">
        <w:rPr>
          <w:rFonts w:ascii="Times New Roman" w:eastAsiaTheme="minorHAnsi" w:hAnsi="Times New Roman" w:cs="Times New Roman"/>
          <w:sz w:val="24"/>
          <w:szCs w:val="24"/>
        </w:rPr>
        <w:t>Крупными и средними предприятиями городского округа город Шахунья по итогам 2021 года отгружено товаров собственного производства, выполнено работ и услуг собственными силами на сумму 7 095 млн. рублей (2020 года - 5 344 млн. рублей).</w:t>
      </w:r>
    </w:p>
    <w:p w14:paraId="59D0F244" w14:textId="77777777" w:rsidR="001F702D" w:rsidRPr="00CF04CF" w:rsidRDefault="001F702D" w:rsidP="001F702D">
      <w:pPr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F04CF">
        <w:rPr>
          <w:rFonts w:ascii="Times New Roman" w:eastAsiaTheme="minorHAnsi" w:hAnsi="Times New Roman" w:cs="Times New Roman"/>
          <w:sz w:val="24"/>
          <w:szCs w:val="24"/>
        </w:rPr>
        <w:t>По итогам 2021 года предприятиями и индивидуальными предпринимателями, относящимся к субъектам малого предпринимательства отгружено товаров собственного производства, выполнено работ и услуг собственными силами на сумму 1 106 млн. рублей (2020 год – 1 205 млн. рублей).</w:t>
      </w:r>
    </w:p>
    <w:p w14:paraId="3FEAFF68" w14:textId="77777777" w:rsidR="001F702D" w:rsidRPr="00CF04CF" w:rsidRDefault="001F702D" w:rsidP="001F702D">
      <w:pPr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F04CF">
        <w:rPr>
          <w:rFonts w:ascii="Times New Roman" w:eastAsiaTheme="minorHAnsi" w:hAnsi="Times New Roman" w:cs="Times New Roman"/>
          <w:sz w:val="24"/>
          <w:szCs w:val="24"/>
        </w:rPr>
        <w:t>За 2021 год предприятиями и организациями городского округа город Шахунья по виду деятельности «Обрабатывающее производство» было отгружено товаров собственного производства на сумму 5 936 млн. рублей, темп роста к уровню 2020 года составил 125,2 %.</w:t>
      </w:r>
    </w:p>
    <w:p w14:paraId="3555176B" w14:textId="77777777" w:rsidR="00C67ED2" w:rsidRPr="00CF04CF" w:rsidRDefault="00C67ED2" w:rsidP="00372C2C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4CF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2021 года общий объем инвестиций в основной капитал снизился по сравнению с уровнем 2020 года на 31% и составил 501,7 млн. рублей (2020 год – 729,4 млн. рублей). Стоит отметить, что в 2021 году снизился общий объем инвестиций как по субъектам малого бизнеса, так и по крупным и средним предприятиям.</w:t>
      </w:r>
    </w:p>
    <w:p w14:paraId="1C702729" w14:textId="77777777" w:rsidR="006432F6" w:rsidRPr="00CF04CF" w:rsidRDefault="006432F6" w:rsidP="00372C2C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CF">
        <w:rPr>
          <w:rFonts w:ascii="Times New Roman" w:eastAsia="Calibri" w:hAnsi="Times New Roman" w:cs="Times New Roman"/>
          <w:sz w:val="24"/>
          <w:szCs w:val="24"/>
        </w:rPr>
        <w:t>Основной причиной снижения объемов инвестиций в малом бизнесе являются ограничения, введенные в связи с распространением коронавирусной инфекции.</w:t>
      </w:r>
    </w:p>
    <w:p w14:paraId="159B07B8" w14:textId="77777777" w:rsidR="006432F6" w:rsidRPr="00CF04CF" w:rsidRDefault="006432F6" w:rsidP="006432F6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CF">
        <w:rPr>
          <w:rFonts w:ascii="Times New Roman" w:eastAsia="Calibri" w:hAnsi="Times New Roman" w:cs="Times New Roman"/>
          <w:sz w:val="24"/>
          <w:szCs w:val="24"/>
        </w:rPr>
        <w:t>В целях оказания содействия по сохранению деятельности субъектов малого и среднего бизнеса Правительством Нижегородской области в 2020 году были введены меры поддержки для организаций и самозанятых граждан, пострадавших от распространения новой  коронавирусной инфекции.</w:t>
      </w:r>
    </w:p>
    <w:p w14:paraId="7783DDAE" w14:textId="77777777" w:rsidR="006432F6" w:rsidRPr="00CF04CF" w:rsidRDefault="006432F6" w:rsidP="006432F6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CF">
        <w:rPr>
          <w:rFonts w:ascii="Times New Roman" w:eastAsia="Calibri" w:hAnsi="Times New Roman" w:cs="Times New Roman"/>
          <w:sz w:val="24"/>
          <w:szCs w:val="24"/>
        </w:rPr>
        <w:t>По Указу Губернатора, приостановившим деятельность хозяйствующим субъектам малого и среднего бизнеса, выделены субсидии на выплату заработной платы из расчета 13 942,53 рубля в месяц и суммы страховых взносов на обязательное пенсионное страхование, социальное страхование, обязательное медицинское страхование на каждого работника в зависимости от режима налогообложения организации, а также 100 % возмещение затрат на оплату коммунальных услуг. Самозанятым гражданам, деятельность которых была приостановлена в соответствии с Указом Губернатора области выделена субсидия из расчета 13 942,53 рубля в месяц.</w:t>
      </w:r>
    </w:p>
    <w:p w14:paraId="18DC5320" w14:textId="77777777" w:rsidR="006432F6" w:rsidRPr="00CF04CF" w:rsidRDefault="006B4E5B" w:rsidP="006432F6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CF">
        <w:rPr>
          <w:rFonts w:ascii="Times New Roman" w:eastAsia="Calibri" w:hAnsi="Times New Roman" w:cs="Times New Roman"/>
          <w:sz w:val="24"/>
          <w:szCs w:val="24"/>
        </w:rPr>
        <w:lastRenderedPageBreak/>
        <w:t>В 202</w:t>
      </w:r>
      <w:r w:rsidR="0029756B" w:rsidRPr="00CF04CF">
        <w:rPr>
          <w:rFonts w:ascii="Times New Roman" w:eastAsia="Calibri" w:hAnsi="Times New Roman" w:cs="Times New Roman"/>
          <w:sz w:val="24"/>
          <w:szCs w:val="24"/>
        </w:rPr>
        <w:t>1</w:t>
      </w:r>
      <w:r w:rsidRPr="00CF0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2F6" w:rsidRPr="00CF04CF">
        <w:rPr>
          <w:rFonts w:ascii="Times New Roman" w:eastAsia="Calibri" w:hAnsi="Times New Roman" w:cs="Times New Roman"/>
          <w:sz w:val="24"/>
          <w:szCs w:val="24"/>
        </w:rPr>
        <w:t>году за предоставлением субсидии на возмещение части затрат на оплату труда работникам и оплату коммунальных услуг в администрацию</w:t>
      </w:r>
      <w:r w:rsidR="0029756B" w:rsidRPr="00CF04C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обратились 1 организация</w:t>
      </w:r>
      <w:r w:rsidR="006432F6" w:rsidRPr="00CF04CF">
        <w:rPr>
          <w:rFonts w:ascii="Times New Roman" w:eastAsia="Calibri" w:hAnsi="Times New Roman" w:cs="Times New Roman"/>
          <w:sz w:val="24"/>
          <w:szCs w:val="24"/>
        </w:rPr>
        <w:t xml:space="preserve"> (вид деятельности – общественное питание). Общий объем п</w:t>
      </w:r>
      <w:r w:rsidR="0029756B" w:rsidRPr="00CF04CF">
        <w:rPr>
          <w:rFonts w:ascii="Times New Roman" w:eastAsia="Calibri" w:hAnsi="Times New Roman" w:cs="Times New Roman"/>
          <w:sz w:val="24"/>
          <w:szCs w:val="24"/>
        </w:rPr>
        <w:t>еречисленных субсидий составил</w:t>
      </w:r>
      <w:r w:rsidR="006432F6" w:rsidRPr="00CF0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04CF">
        <w:rPr>
          <w:rFonts w:ascii="Times New Roman" w:eastAsia="Calibri" w:hAnsi="Times New Roman" w:cs="Times New Roman"/>
          <w:sz w:val="24"/>
          <w:szCs w:val="24"/>
        </w:rPr>
        <w:t>493 тыс</w:t>
      </w:r>
      <w:r w:rsidR="006432F6" w:rsidRPr="00CF04CF">
        <w:rPr>
          <w:rFonts w:ascii="Times New Roman" w:eastAsia="Calibri" w:hAnsi="Times New Roman" w:cs="Times New Roman"/>
          <w:sz w:val="24"/>
          <w:szCs w:val="24"/>
        </w:rPr>
        <w:t>. рублей.</w:t>
      </w:r>
    </w:p>
    <w:p w14:paraId="576DB04A" w14:textId="77777777" w:rsidR="006B4E5B" w:rsidRPr="00CF04CF" w:rsidRDefault="006B4E5B" w:rsidP="006B4E5B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F04CF">
        <w:rPr>
          <w:rFonts w:ascii="Times New Roman" w:eastAsiaTheme="minorHAnsi" w:hAnsi="Times New Roman" w:cs="Times New Roman"/>
          <w:sz w:val="24"/>
          <w:szCs w:val="24"/>
        </w:rPr>
        <w:t>Среднемесячная заработная плата работников предприятий и организаций городского округа город Шахунья за 2021 год составила 24 104 рубля, что больше уровня 2020 года на 8,0 %.</w:t>
      </w:r>
    </w:p>
    <w:p w14:paraId="2610F388" w14:textId="77777777" w:rsidR="002D4893" w:rsidRPr="00CF04CF" w:rsidRDefault="006B4E5B" w:rsidP="006B4E5B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F04CF">
        <w:rPr>
          <w:rFonts w:ascii="Times New Roman" w:eastAsiaTheme="minorHAnsi" w:hAnsi="Times New Roman" w:cs="Times New Roman"/>
          <w:sz w:val="24"/>
          <w:szCs w:val="24"/>
        </w:rPr>
        <w:t>За этот период среднемесячная заработная плата работников по крупным и средним предприятиям и организациям городского округа увеличилась по сравнению с аналогичным периодом 2020 года на 8,9 % и составила 32 433 рубля.</w:t>
      </w:r>
    </w:p>
    <w:p w14:paraId="735B6A6A" w14:textId="77777777" w:rsidR="00CC2D9A" w:rsidRPr="00CF04CF" w:rsidRDefault="00CC2D9A" w:rsidP="002D4893">
      <w:pPr>
        <w:spacing w:before="120" w:after="12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CF">
        <w:rPr>
          <w:rFonts w:ascii="Times New Roman" w:eastAsiaTheme="minorHAnsi" w:hAnsi="Times New Roman" w:cs="Times New Roman"/>
          <w:sz w:val="24"/>
          <w:szCs w:val="24"/>
        </w:rPr>
        <w:t>В целях легализации заработной платы и увеличения налоговых поступлений в администрации городского округа город Шахунья регулярно проводятся заседания единой межведомственной комиссии по вопросам уровня заработной платы и н</w:t>
      </w:r>
      <w:r w:rsidR="00D44F6D" w:rsidRPr="00CF04CF">
        <w:rPr>
          <w:rFonts w:ascii="Times New Roman" w:eastAsiaTheme="minorHAnsi" w:hAnsi="Times New Roman" w:cs="Times New Roman"/>
          <w:sz w:val="24"/>
          <w:szCs w:val="24"/>
        </w:rPr>
        <w:t>алоговым платежам. Всего за 2021</w:t>
      </w:r>
      <w:r w:rsidRPr="00CF04CF">
        <w:rPr>
          <w:rFonts w:ascii="Times New Roman" w:eastAsiaTheme="minorHAnsi" w:hAnsi="Times New Roman" w:cs="Times New Roman"/>
          <w:sz w:val="24"/>
          <w:szCs w:val="24"/>
        </w:rPr>
        <w:t xml:space="preserve"> год проведено </w:t>
      </w:r>
      <w:r w:rsidR="00082221" w:rsidRPr="00CF04CF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CF04CF">
        <w:rPr>
          <w:rFonts w:ascii="Times New Roman" w:eastAsiaTheme="minorHAnsi" w:hAnsi="Times New Roman" w:cs="Times New Roman"/>
          <w:sz w:val="24"/>
          <w:szCs w:val="24"/>
        </w:rPr>
        <w:t xml:space="preserve"> заседаний межведомственной комиссии, на которых рассмотрено </w:t>
      </w:r>
      <w:r w:rsidR="004E3163" w:rsidRPr="00CF04CF">
        <w:rPr>
          <w:rFonts w:ascii="Times New Roman" w:eastAsiaTheme="minorHAnsi" w:hAnsi="Times New Roman" w:cs="Times New Roman"/>
          <w:sz w:val="24"/>
          <w:szCs w:val="24"/>
        </w:rPr>
        <w:t>58</w:t>
      </w:r>
      <w:r w:rsidRPr="00CF04CF">
        <w:rPr>
          <w:rFonts w:ascii="Times New Roman" w:eastAsiaTheme="minorHAnsi" w:hAnsi="Times New Roman" w:cs="Times New Roman"/>
          <w:sz w:val="24"/>
          <w:szCs w:val="24"/>
        </w:rPr>
        <w:t xml:space="preserve"> предприятий и индивидуальных предпринимателя по вопросу низкого уровня заработной платы и</w:t>
      </w:r>
      <w:r w:rsidR="00D44F6D" w:rsidRPr="00CF04CF">
        <w:rPr>
          <w:rFonts w:ascii="Times New Roman" w:eastAsiaTheme="minorHAnsi" w:hAnsi="Times New Roman" w:cs="Times New Roman"/>
          <w:sz w:val="24"/>
          <w:szCs w:val="24"/>
        </w:rPr>
        <w:t xml:space="preserve"> 11</w:t>
      </w:r>
      <w:r w:rsidR="00F01172" w:rsidRPr="00CF04CF">
        <w:rPr>
          <w:rFonts w:ascii="Times New Roman" w:eastAsiaTheme="minorHAnsi" w:hAnsi="Times New Roman" w:cs="Times New Roman"/>
          <w:sz w:val="24"/>
          <w:szCs w:val="24"/>
        </w:rPr>
        <w:t xml:space="preserve"> предприятий по вопросу</w:t>
      </w:r>
      <w:r w:rsidRPr="00CF04CF">
        <w:rPr>
          <w:rFonts w:ascii="Times New Roman" w:eastAsiaTheme="minorHAnsi" w:hAnsi="Times New Roman" w:cs="Times New Roman"/>
          <w:sz w:val="24"/>
          <w:szCs w:val="24"/>
        </w:rPr>
        <w:t xml:space="preserve"> задолженности по налоговым платежам. </w:t>
      </w:r>
      <w:r w:rsidRPr="00CF04CF">
        <w:rPr>
          <w:rFonts w:ascii="Times New Roman" w:eastAsia="Calibri" w:hAnsi="Times New Roman" w:cs="Times New Roman"/>
          <w:sz w:val="24"/>
          <w:szCs w:val="24"/>
        </w:rPr>
        <w:t>В результате проведенной работы предприятиями, имеющими задолженность по на</w:t>
      </w:r>
      <w:r w:rsidR="00F01172" w:rsidRPr="00CF04CF">
        <w:rPr>
          <w:rFonts w:ascii="Times New Roman" w:eastAsia="Calibri" w:hAnsi="Times New Roman" w:cs="Times New Roman"/>
          <w:sz w:val="24"/>
          <w:szCs w:val="24"/>
        </w:rPr>
        <w:t>логовым платежам, в течение 20</w:t>
      </w:r>
      <w:r w:rsidR="00D44F6D" w:rsidRPr="00CF04CF">
        <w:rPr>
          <w:rFonts w:ascii="Times New Roman" w:eastAsia="Calibri" w:hAnsi="Times New Roman" w:cs="Times New Roman"/>
          <w:sz w:val="24"/>
          <w:szCs w:val="24"/>
        </w:rPr>
        <w:t>21 года перечислено в бюджет 3,0</w:t>
      </w:r>
      <w:r w:rsidRPr="00CF04CF">
        <w:rPr>
          <w:rFonts w:ascii="Times New Roman" w:eastAsia="Calibri" w:hAnsi="Times New Roman" w:cs="Times New Roman"/>
          <w:sz w:val="24"/>
          <w:szCs w:val="24"/>
        </w:rPr>
        <w:t xml:space="preserve"> млн. рублей.</w:t>
      </w:r>
    </w:p>
    <w:p w14:paraId="150E65B0" w14:textId="77777777" w:rsidR="00F01172" w:rsidRPr="00CF04CF" w:rsidRDefault="00082221" w:rsidP="00372C2C">
      <w:pPr>
        <w:spacing w:before="120" w:after="12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CF">
        <w:rPr>
          <w:rFonts w:ascii="Times New Roman" w:eastAsia="Calibri" w:hAnsi="Times New Roman" w:cs="Times New Roman"/>
          <w:sz w:val="24"/>
          <w:szCs w:val="24"/>
        </w:rPr>
        <w:t>В 2021</w:t>
      </w:r>
      <w:r w:rsidR="00F01172" w:rsidRPr="00CF04CF">
        <w:rPr>
          <w:rFonts w:ascii="Times New Roman" w:eastAsia="Calibri" w:hAnsi="Times New Roman" w:cs="Times New Roman"/>
          <w:sz w:val="24"/>
          <w:szCs w:val="24"/>
        </w:rPr>
        <w:t xml:space="preserve"> году нами, как уполномоченным органом, было проведено </w:t>
      </w:r>
      <w:r w:rsidRPr="00CF04CF">
        <w:rPr>
          <w:rFonts w:ascii="Times New Roman" w:eastAsia="Calibri" w:hAnsi="Times New Roman" w:cs="Times New Roman"/>
          <w:sz w:val="24"/>
          <w:szCs w:val="24"/>
        </w:rPr>
        <w:t xml:space="preserve">222 конкурентные процедуры (2020 год – 150 процедур). Объявлено конкурентных процедур на сумму 315,3 млн. рублей (2020 год – 240,2 млн. рублей). По итогам проведенных процедур заключено муниципальных контрактов на сумму 230,1 млн. рублей (2020 год – 220,8 млн. рублей). Экономия бюджетных средств по итогам процедур составила 31,5 млн. рублей (по итогам 2020 года экономия составила – 9,2 млн. рублей). </w:t>
      </w:r>
      <w:r w:rsidR="00F01172" w:rsidRPr="00CF04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5FCA1B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Основной составляющей неналоговых поступлений в бюджет являются доходы от распоряжения муниципальным имуществом и земельными ресурсами.</w:t>
      </w:r>
    </w:p>
    <w:p w14:paraId="49D95E5A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состоянию на 01.01.2022 года в реестре муниципальной собственности городского округа город Шахунья находится более 19 тыс. объектов движимого и недвижимого им</w:t>
      </w:r>
      <w:r w:rsidR="00766AEB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ущества балансовой стоимостью 3,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 млрд. рублей, более 52 тыс. га земель кадастровой стоимостью </w:t>
      </w:r>
      <w:r w:rsidR="00766AEB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1,4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млрд. рублей.</w:t>
      </w:r>
    </w:p>
    <w:p w14:paraId="330575CB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2021 году проводились работы по </w:t>
      </w:r>
      <w:r w:rsidR="00766AEB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выявлению и 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постановке на кадастровый учет </w:t>
      </w:r>
      <w:r w:rsidR="00766AEB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бесхозяйных 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объектов недвижимости, результатом которых явилась постановка на учет 7 бесхозяйных объектов недвижимости (2020 год – 31 объект). В течение года было зарегистрировано 54 сделки с объектами недвижимости (договора мены, купли-продажи).</w:t>
      </w:r>
    </w:p>
    <w:p w14:paraId="7384B114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течение 2021 года поставлено на государственный кадастровый учёт, в том числе путём раздела, объединения и уточнения границ существующих земельных участков 101 земельный участ</w:t>
      </w:r>
      <w:r w:rsidR="00766AEB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(11– земли сельскохозяйственного назначения, 33 участка под МКД и</w:t>
      </w:r>
      <w:r w:rsidR="00766AEB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60 прочих), общей площадью 296,3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гектара.</w:t>
      </w:r>
    </w:p>
    <w:p w14:paraId="448A3F48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2021 году Управлением заключено 233 дополнительных соглашений к договорам оперативного управления и хозяйственного ведения за муниципальными предприятиями и 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учреждениями городского округа город Шахунья. Всего закреплено 1193 объекта учета (2019 год – 1223 объекта учета, 2020-1390).</w:t>
      </w:r>
    </w:p>
    <w:p w14:paraId="06AA801B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течение отчетного года проводилась работа по перераспределению имущества в связи с разграничением полномочий между федеральными органами государственной власти, органами государственной власти субъектов РФ и органами местного самоуправления.</w:t>
      </w:r>
    </w:p>
    <w:p w14:paraId="56014235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 собственности Нижегородской области в муниципальную собственность городского округа город Шахунья в отчётном периоде было получено движимого</w:t>
      </w:r>
      <w:r w:rsidR="00766AEB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имущества на общую сумму 6,4 млн. рублей 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(в том числе 3 автомобиля для перевозки детей ГАЗ A66R33, которые переданы в МБОУ </w:t>
      </w:r>
      <w:proofErr w:type="spellStart"/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Хмелевицкая</w:t>
      </w:r>
      <w:proofErr w:type="spellEnd"/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СОШ, МАОУ «</w:t>
      </w:r>
      <w:proofErr w:type="spellStart"/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Вахтанская</w:t>
      </w:r>
      <w:proofErr w:type="spellEnd"/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средняя школа», МБОУ </w:t>
      </w:r>
      <w:proofErr w:type="spellStart"/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Сявская</w:t>
      </w:r>
      <w:proofErr w:type="spellEnd"/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средняя общеобразовательная школа) и материальные запасы на общую сумму </w:t>
      </w:r>
      <w:r w:rsidR="00766AEB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47,7 тыс. рублей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(в 2020 году передано движимое имущество на общую сумму </w:t>
      </w:r>
      <w:r w:rsidR="00766AEB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1,9 млн. рублей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766AEB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0955C027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 муниципальной собственности городского округа город Шахунья в федеральную собственности передано 1 нежилое помещение, общей площадью 14,9 </w:t>
      </w:r>
      <w:proofErr w:type="spellStart"/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кв.м</w:t>
      </w:r>
      <w:proofErr w:type="spellEnd"/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расположенное по адресу: г. Шахунья, с. </w:t>
      </w:r>
      <w:proofErr w:type="spellStart"/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Верховское</w:t>
      </w:r>
      <w:proofErr w:type="spellEnd"/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ул. Центральная, д.7</w:t>
      </w:r>
      <w:r w:rsidR="00E73372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(помещение почты)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 в 2020 году - 1 нежилое помещение)</w:t>
      </w:r>
      <w:r w:rsidR="00E73372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39B943ED" w14:textId="77777777" w:rsidR="009337D4" w:rsidRPr="00CF04CF" w:rsidRDefault="00E73372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2021 году и</w:t>
      </w:r>
      <w:r w:rsidR="009337D4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 федеральной собственности в муниципальную собственность передан земельный участок, общей площадью 930 </w:t>
      </w:r>
      <w:proofErr w:type="spellStart"/>
      <w:r w:rsidR="009337D4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кв.м</w:t>
      </w:r>
      <w:proofErr w:type="spellEnd"/>
      <w:r w:rsidR="009337D4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., расположенный по адресу: Нижегородская область, г. Шахунья, ул. Гагарина, котельная (в 2020 году - 1 земельный участок).</w:t>
      </w:r>
    </w:p>
    <w:p w14:paraId="136FB7F0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состоянию на 01.01.2022 года в реестре муниципальной собственности городского округа город Шахунья числится 5 муниципальных унитарных предприятий. </w:t>
      </w:r>
      <w:r w:rsidR="00C22F25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итогам финансово-хозяйственной деятельности 2021 года 2 муниципальных предприятия получили прибыль, 2 муниципальных предприятия получили убыток и в 1 муниципальном предприятии доходы по итогам 2021 года равны расходам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3FF027B0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2021 году в бюджет городского округа от прибыли муниципальных предприятий, полученной за прошлые периоды, поступили денежные средства в размере 2,8 тыс. рублей.</w:t>
      </w:r>
    </w:p>
    <w:p w14:paraId="7B2F58EF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 2021 год заключено 27 договоров безвозмездного пользования земельных участков, 10 договоров по размещению объектов на земельных участках в соответствии с постановлением Правительства РФ №1300 от 03.12.2014, 28 договоров аренды земельных участков.</w:t>
      </w:r>
    </w:p>
    <w:p w14:paraId="6273CC66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2021 году предоставлено 2 земельных участка в собственность бесплатно в рамках гаражной амнистии, 2 земельных участка в собственность бесплатно (в соответствии со ст. 39.5 Земельного кодекса Российской Федерации, пунктом 4 статьи 3 Федерального закона от 25.10.2001 № 137-ФЗ «О введении в действие Земельного кодекса Российской Федерации»), 4 земельных участка предоставлены по договору постоянного бессрочного пользования</w:t>
      </w:r>
    </w:p>
    <w:p w14:paraId="0F753D66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 2-х земельных участков согласованы границы, 4-м земельным участкам присвоена категория земель, по 4 земельным участкам осуществлено изменение вида разрешенного использования.</w:t>
      </w:r>
    </w:p>
    <w:p w14:paraId="1FC12B74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По состоянию на 01.01.2022 года Управлением заключены и действуют 351 договор аренды земельных участков (на 01.01.2021 – 338 договоров). </w:t>
      </w:r>
    </w:p>
    <w:p w14:paraId="50ACB9DC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Постановлением Правительства Нижегородской области от 02.07.2020 № 535 «О реализации Закона Нижегородской области от 2 апреля 2020 г. N 26-З «О мерах социальной поддержки многодетных семей взамен предоставления им земельного участка на территории Нижегородской области и о внесении изменений в отдельные законы Нижегородской области» утверждено Положение, устанавливающее порядок выдачи сертификата, порядок учета многодетных семей, имеющих право на получение сертификата, порядок реализации мер социальной поддержки. </w:t>
      </w:r>
    </w:p>
    <w:p w14:paraId="0D631A05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Законом № 26-З функции учета многодетных семей, имеющих право на получение сертификата, выдачи сертификатов и ведения реестра выданных сертификатов возложены на Министерство имущественных и земельных отношений Нижегородской области. Направление средств при реализации сертификата осуществляет ГКУ НО «Управление социальной защиты населения». </w:t>
      </w:r>
    </w:p>
    <w:p w14:paraId="2DE9F747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ст.2 Закона № 26-З установлено, что правом на получение сертификата могут воспользоваться те многодетные семьи, которые либо уже состоят на учете в целях получения земельного участка для индивидуального жилищного строительства, либо имеют право на постановку на учет в целях получения земельного участка, признаны нуждающимся в улучшении жилищных условий и ранее не реализовали свое право на получение земельного участка.</w:t>
      </w:r>
    </w:p>
    <w:p w14:paraId="03C020E2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Номинал жилищного сертификата составляет 470 тыс. рублей.</w:t>
      </w:r>
    </w:p>
    <w:p w14:paraId="7CBA3984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Министерство имущественных и земельных отношений Нижегородской области в 2021 году направлено 12 заявлений с комплектом документов от многодетных семей на получение жилищного сертификата (11 многодетных семей поставлены на учет многодетных семей, имеющих право на получение сертификата на улучшение жилищных условий, 1 многодетной семье отказано в постановке на учет в связи с предоставлением заявителем недостоверных сведений).</w:t>
      </w:r>
    </w:p>
    <w:p w14:paraId="0F3D7EBB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Перечень земельных участков, предназначенных для предоставления в собственность бесплатно для индивидуального жилищного строительства, в течение 2021 года включено 4 земельных участка для ИЖС. </w:t>
      </w:r>
    </w:p>
    <w:p w14:paraId="4533967D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состоянию на 01.01.2022 года в очереди, желающих приобрести земельные участки для индивидуального жилищного строительства, находится 2 многодетные семьи и 1 молодая семья (на 01.01.2021 года в очереди, желающих приобрести земельные участки для индивидуального жилищного строительства, находилась 1 многодетная семья, 1 молодая семья).</w:t>
      </w:r>
    </w:p>
    <w:p w14:paraId="672108FB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Одной из основных задач Управления экономики и муниципального имущества является исполнение установленного бюджетного задания по доходам от управления и распоряжения муниципальной собственностью. В соответствии с решением Совета депутатов городского округа город Шахунья от 25.12.2020 года № 50-2 «О бюджете городского округа город Шахунья на 2021 год и на плановый период 2022 и 2023 годов», с последующими изменениями и дополнениями, годовой план по доходам, администратором которых является Управление установлен в размере 23,2 млн. рублей. </w:t>
      </w:r>
    </w:p>
    <w:p w14:paraId="796281A3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По итогам 2021 года управлением экономики и муниципального имущества фактически получено неналоговых доходов 22,9 млн. рублей (исполнение бюджетного задания – 98,94%). </w:t>
      </w:r>
    </w:p>
    <w:p w14:paraId="53143F1A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Наиболее существенный объем доходов в отчетном периоде получен от аренды имущества (9,1 млн. рублей), аренды земельных участков (5,7 млн. рублей), платы за </w:t>
      </w:r>
      <w:r w:rsidR="00C564A5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социальный найм (3,5 млн. рублей)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4AC5B012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целях увеличения доходов Управлением проводится претензионная и исковая работа по взиманию задолженности за аренду земельных участков и муниципального имущества, а также задолженности за найм муниципальных жилых помещений. </w:t>
      </w:r>
    </w:p>
    <w:p w14:paraId="1D008466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течение 2021 года подано 10 исковых заявлений в суды о взыскании задолженности по договорам аренды муниципального имущества на общую сумму 9,1 млн. рублей (2020 год – 3,4 млн. рублей). По состоянию на 01.01.2022 удовлетворено исковых заявлений на сумму 4,2 млн. рублей. В производстве судов находятся 4 исковых заявления на сумму 4,9 млн. рублей.</w:t>
      </w:r>
    </w:p>
    <w:p w14:paraId="37E3F913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течение 2021 года подано 39 исковых заявлений и судебных приказов о взыскании задолженности по договорам аренды земельных участков на общую сумму 3,4 млн. рублей (2020 год – 3,7 млн. рублей). По состоянию на 01.01.2021 удовлетворено исковых заявлений и судебных приказов на сумму 3,3 млн. рублей. В производстве судов находятся 6 исковых заявлений на сумму 58 тыс. рублей.</w:t>
      </w:r>
    </w:p>
    <w:p w14:paraId="3FD71456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Подано 72 исковых заявления о взыскании задолженности за наем муниципальных жилых помещений на сумму 876 тыс. рублей, все поданные заявления удовлетворены в полном объеме. Судебные приказы переданы на исполнение в Службу судебных приставов.</w:t>
      </w:r>
    </w:p>
    <w:p w14:paraId="3933F731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реестре муниципальной собственности по состоянию на 01.01.2022 года учитывается 2709 жилых помещений (на 01.01.2020 – 3049, на 01.01.2020 -2685). </w:t>
      </w:r>
    </w:p>
    <w:p w14:paraId="199EE560" w14:textId="77777777" w:rsidR="009337D4" w:rsidRPr="00CF04CF" w:rsidRDefault="00821AD2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2021</w:t>
      </w:r>
      <w:r w:rsidR="009337D4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году управлением экономики и муниципального имущества включено в казну городского о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круга 58 жилых помещений (в 2020 году - 54 жилых помещений</w:t>
      </w:r>
      <w:r w:rsidR="009337D4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), также в течение 2021 года управлением с нанимателями муниципальных жилых помещений были заключены 41 договор о приватизации муниципальных жилых помещений (в 2020 году заключены 32 договора).</w:t>
      </w:r>
    </w:p>
    <w:p w14:paraId="7FD24DCA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Управлением экономики и муниципального имущества проводиться постоянная планомерная работа по обследованию и ремонту муниципальных жилых помещений.</w:t>
      </w:r>
    </w:p>
    <w:p w14:paraId="41FF4E3F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2021 году проведен осмотр 22 муниципальных жилых помещений на предмет проведения капитального или текущего ремонта.</w:t>
      </w:r>
    </w:p>
    <w:p w14:paraId="7A699722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Проведение капитального ремонта муниципальных жилых помещений осуществляется Управлением в соответствие с Порядком проведения капитального ремонта объектов муниципального жилищного фонда на территории городского округа город Шахунья Нижегородской области, утвержденным постановлением администрации от 02.07.2020 № 532. Данный Порядок определяет очередность проведения капитального ремонта муниципального жилого фонда на территории городского округа город Шахунья, а также основные критерии для включения в адресный перечень муниципальных жилых помещений, подлежащих капитальному ремонту. </w:t>
      </w:r>
    </w:p>
    <w:p w14:paraId="3FD7E1CC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Адресный перечень муниципальных жилых помещений, подлежащих капитальному ремонту на территории городского округа город Шахунья Нижегородской области размещен на официальном сайте администрации городского округа город Шахунья Нижегородской области в сети Интернет, в который, на сегодняшний момент, включено 109 жилых помещений.</w:t>
      </w:r>
    </w:p>
    <w:p w14:paraId="57FE1F0F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течении 2021 года управлением экономики и муниципального имущества проведен ремонт 13 муниципальных жилых помещений (в 2020 - 18 муниципальных жилых помещений). Из них 5 - в </w:t>
      </w:r>
      <w:proofErr w:type="spellStart"/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г.Шахунья</w:t>
      </w:r>
      <w:proofErr w:type="spellEnd"/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3 – в </w:t>
      </w:r>
      <w:proofErr w:type="spellStart"/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р.п.Сява</w:t>
      </w:r>
      <w:proofErr w:type="spellEnd"/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3 – в </w:t>
      </w:r>
      <w:proofErr w:type="spellStart"/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р.п.Вахтан</w:t>
      </w:r>
      <w:proofErr w:type="spellEnd"/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2 – в сельских населенных пунктах. Общая стоимость работ, в соответствии с заключенными контрактами, составила 2,0 млн. рублей (в 2020 году на ремонт было израсходовано – 1,5 млн. рублей).</w:t>
      </w:r>
    </w:p>
    <w:p w14:paraId="4AFA5505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 обследования муниципального жилищного фонда и совместной работы с территориальными отделами и секторами Управления по работе с территориями и благоустройству, управляющими компаниями, выявлено 12 пустующих муниципальных жилых помещений (в 2020 году - 16), составлены акты осмотра. Информация по помещениям передана в сектор жилищной политики администрации городского округа город Шахунья Нижегородской области для дальнейшего перераспределения.</w:t>
      </w:r>
    </w:p>
    <w:p w14:paraId="009C811A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2021 году продолжена работа по оформлению в муниципальную собственность выморочного имущества (частного имущества, на которое не выявлены наследники). В течение года в муниципальную собственность по данной категории оформлен 1 земельный участок (в 2020 году – 2 жилых помещения).</w:t>
      </w:r>
    </w:p>
    <w:p w14:paraId="0F118596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отношении физических лиц на 2021 год было запланировано и утверждено 48 проверок по муниципальному земельному контролю на территории городского округа город Шахунья Нижегородской области. В связи с введением режима повышенной готовности с марта 2020 года проведение муниципального земельного контроля было приостановлено до сентя</w:t>
      </w:r>
      <w:r w:rsidR="00821AD2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бря 2021 года. В связи с этим за период с сентября по декабрь 2021 года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проведены всего 13 плановых выездных проверок (в 2020 – 37).</w:t>
      </w:r>
    </w:p>
    <w:p w14:paraId="2E3E7561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итогам проверок выдано 1 предписание об устранении выявленных нарушений земельного законодательства на территории городского округа. Составлено и направлено в судебные участки </w:t>
      </w:r>
      <w:proofErr w:type="spellStart"/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Шахунского</w:t>
      </w:r>
      <w:proofErr w:type="spellEnd"/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судебного района Нижегородской области 1 протокол по ст. 19.4.1 КоАП РФ (воспрепятствование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контроля). </w:t>
      </w:r>
    </w:p>
    <w:p w14:paraId="2D29DDD3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2021 году плановые проверки юридических лиц и индивидуальных предпринимателей на территории городского округа город Шахунья Нижегородской области не проводились, так как план проверок юридических лиц и индивидуальных предпринимателей не был утвержден прокуратурой </w:t>
      </w:r>
      <w:r w:rsidR="00821AD2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6D477C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ижегородской области (в 2020 год</w:t>
      </w:r>
      <w:r w:rsidR="00821AD2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 были проведены 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821AD2"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плановые проверки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). </w:t>
      </w:r>
    </w:p>
    <w:p w14:paraId="3A2F9FBD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отношении граждан в 2021 году были проведены 3 внеплановых проверки.</w:t>
      </w:r>
    </w:p>
    <w:p w14:paraId="500FDAB5" w14:textId="77777777" w:rsidR="009337D4" w:rsidRPr="00CF04CF" w:rsidRDefault="009337D4" w:rsidP="009337D4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рамках осуществления контроля при формировании земельных участков для предоставления заявителям и предупреждения нарушений земельного законодательства инспектором было обследовано 126 земельных участков на территории городского округа </w:t>
      </w:r>
      <w:r w:rsidRPr="00CF04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город Шахунья Нижегородской области с составлением актов осмотра и фото таблиц (в 2020 году -125).</w:t>
      </w:r>
    </w:p>
    <w:p w14:paraId="0B462707" w14:textId="77777777" w:rsidR="00372C2C" w:rsidRPr="00CF04CF" w:rsidRDefault="00013A54" w:rsidP="009337D4">
      <w:pPr>
        <w:spacing w:before="120" w:after="12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CF">
        <w:rPr>
          <w:rFonts w:ascii="Times New Roman" w:eastAsia="Calibri" w:hAnsi="Times New Roman" w:cs="Times New Roman"/>
          <w:sz w:val="24"/>
          <w:szCs w:val="24"/>
        </w:rPr>
        <w:t>П</w:t>
      </w:r>
      <w:r w:rsidR="00372C2C" w:rsidRPr="00CF04CF">
        <w:rPr>
          <w:rFonts w:ascii="Times New Roman" w:eastAsia="Calibri" w:hAnsi="Times New Roman" w:cs="Times New Roman"/>
          <w:sz w:val="24"/>
          <w:szCs w:val="24"/>
        </w:rPr>
        <w:t xml:space="preserve">еречень первоочередных задач, стоящих перед управлением экономики и </w:t>
      </w:r>
      <w:r w:rsidR="009337D4" w:rsidRPr="00CF04CF">
        <w:rPr>
          <w:rFonts w:ascii="Times New Roman" w:eastAsia="Calibri" w:hAnsi="Times New Roman" w:cs="Times New Roman"/>
          <w:sz w:val="24"/>
          <w:szCs w:val="24"/>
        </w:rPr>
        <w:t>муниципального имущества на 2022</w:t>
      </w:r>
      <w:r w:rsidR="00372C2C" w:rsidRPr="00CF04CF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14:paraId="1D53DFC8" w14:textId="77777777" w:rsidR="00372C2C" w:rsidRPr="00CF04CF" w:rsidRDefault="00372C2C" w:rsidP="00372C2C">
      <w:pPr>
        <w:pStyle w:val="ab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CF">
        <w:rPr>
          <w:rFonts w:ascii="Times New Roman" w:hAnsi="Times New Roman"/>
          <w:spacing w:val="2"/>
          <w:sz w:val="24"/>
          <w:szCs w:val="24"/>
        </w:rPr>
        <w:t>В целях повышения поступления налоговых платежей активизировать работу межведомственной комиссии по вопросам уровня заработной платы и налоговым платежам.</w:t>
      </w:r>
    </w:p>
    <w:p w14:paraId="35BCC3E3" w14:textId="77777777" w:rsidR="00372C2C" w:rsidRPr="00CF04CF" w:rsidRDefault="00372C2C" w:rsidP="00372C2C">
      <w:pPr>
        <w:pStyle w:val="ab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F04CF">
        <w:rPr>
          <w:rFonts w:ascii="Times New Roman" w:hAnsi="Times New Roman"/>
          <w:sz w:val="24"/>
          <w:szCs w:val="24"/>
        </w:rPr>
        <w:t>В целях эффективного использования бюджетных средств будем активизировать работу муниципальных заказчиков по проведению конкурентных процедур при заключении муниципальных контрактов.</w:t>
      </w:r>
    </w:p>
    <w:p w14:paraId="25B3B934" w14:textId="77777777" w:rsidR="00372C2C" w:rsidRPr="00CF04CF" w:rsidRDefault="00372C2C" w:rsidP="00372C2C">
      <w:pPr>
        <w:pStyle w:val="ab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F04CF">
        <w:rPr>
          <w:rFonts w:ascii="Times New Roman" w:hAnsi="Times New Roman"/>
          <w:sz w:val="24"/>
          <w:szCs w:val="24"/>
        </w:rPr>
        <w:t>В целях повышения поступлений неналоговых платежей</w:t>
      </w:r>
      <w:r w:rsidRPr="00CF04CF">
        <w:rPr>
          <w:rFonts w:ascii="Times New Roman" w:eastAsia="Times New Roman" w:hAnsi="Times New Roman" w:cs="Times New Roman"/>
          <w:sz w:val="24"/>
          <w:szCs w:val="24"/>
        </w:rPr>
        <w:t xml:space="preserve"> усиление претензионной и исковой работы по взиманию задолженности по арендным платежам и платежам по найму муниципального жилого фонда</w:t>
      </w:r>
    </w:p>
    <w:p w14:paraId="7AD4BC48" w14:textId="77777777" w:rsidR="00372C2C" w:rsidRPr="00CF04CF" w:rsidRDefault="00372C2C" w:rsidP="00372C2C">
      <w:pPr>
        <w:pStyle w:val="ab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CF">
        <w:rPr>
          <w:rFonts w:ascii="Times New Roman" w:eastAsia="Times New Roman" w:hAnsi="Times New Roman" w:cs="Times New Roman"/>
          <w:sz w:val="24"/>
          <w:szCs w:val="24"/>
        </w:rPr>
        <w:t>Продолжение работ по выявлению бесхозяйного и выморочного имущества и его оформление в муниципальную собственность.</w:t>
      </w:r>
    </w:p>
    <w:p w14:paraId="4E47FF6E" w14:textId="77777777" w:rsidR="00A31D0C" w:rsidRDefault="00A31D0C" w:rsidP="00A31D0C">
      <w:pPr>
        <w:spacing w:before="120" w:after="120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B1F00BE" w14:textId="77777777" w:rsidR="00BC36B3" w:rsidRDefault="00BC36B3" w:rsidP="002B4C3A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7"/>
          <w:szCs w:val="27"/>
        </w:rPr>
      </w:pPr>
    </w:p>
    <w:p w14:paraId="2F6C5470" w14:textId="77777777" w:rsidR="00A96138" w:rsidRDefault="00A96138" w:rsidP="00D0201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9F0173D" w14:textId="77777777" w:rsidR="00A96138" w:rsidRPr="00D0201D" w:rsidRDefault="00A96138" w:rsidP="00D0201D">
      <w:pPr>
        <w:rPr>
          <w:rFonts w:ascii="Times New Roman" w:hAnsi="Times New Roman" w:cs="Times New Roman"/>
          <w:sz w:val="27"/>
          <w:szCs w:val="27"/>
        </w:rPr>
      </w:pPr>
    </w:p>
    <w:sectPr w:rsidR="00A96138" w:rsidRPr="00D0201D" w:rsidSect="0026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A4C78"/>
    <w:multiLevelType w:val="hybridMultilevel"/>
    <w:tmpl w:val="C3DAFFA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24D07B40"/>
    <w:multiLevelType w:val="hybridMultilevel"/>
    <w:tmpl w:val="133E9BA2"/>
    <w:lvl w:ilvl="0" w:tplc="749E7530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46"/>
    <w:rsid w:val="00013A54"/>
    <w:rsid w:val="000307F2"/>
    <w:rsid w:val="00082221"/>
    <w:rsid w:val="000A7C9C"/>
    <w:rsid w:val="000F2D8C"/>
    <w:rsid w:val="001244ED"/>
    <w:rsid w:val="00155B76"/>
    <w:rsid w:val="00175D87"/>
    <w:rsid w:val="001C64D8"/>
    <w:rsid w:val="001C79BE"/>
    <w:rsid w:val="001F702D"/>
    <w:rsid w:val="0026720B"/>
    <w:rsid w:val="0029756B"/>
    <w:rsid w:val="002B4C3A"/>
    <w:rsid w:val="002D4893"/>
    <w:rsid w:val="00325CC2"/>
    <w:rsid w:val="00332F72"/>
    <w:rsid w:val="00356390"/>
    <w:rsid w:val="00372C2C"/>
    <w:rsid w:val="00384610"/>
    <w:rsid w:val="003A1242"/>
    <w:rsid w:val="003C34E2"/>
    <w:rsid w:val="003C721D"/>
    <w:rsid w:val="004029B9"/>
    <w:rsid w:val="004277A9"/>
    <w:rsid w:val="004E0A74"/>
    <w:rsid w:val="004E3163"/>
    <w:rsid w:val="00561639"/>
    <w:rsid w:val="005B440D"/>
    <w:rsid w:val="005D429A"/>
    <w:rsid w:val="005E1C41"/>
    <w:rsid w:val="006432F6"/>
    <w:rsid w:val="0067304D"/>
    <w:rsid w:val="006B4E5B"/>
    <w:rsid w:val="006D477C"/>
    <w:rsid w:val="0073204B"/>
    <w:rsid w:val="00741962"/>
    <w:rsid w:val="00766AEB"/>
    <w:rsid w:val="007C627E"/>
    <w:rsid w:val="007E171A"/>
    <w:rsid w:val="0080251B"/>
    <w:rsid w:val="00821AD2"/>
    <w:rsid w:val="0085410B"/>
    <w:rsid w:val="008B6589"/>
    <w:rsid w:val="008C2AC7"/>
    <w:rsid w:val="008D7C7F"/>
    <w:rsid w:val="00902453"/>
    <w:rsid w:val="009117D4"/>
    <w:rsid w:val="009337D4"/>
    <w:rsid w:val="00954D3C"/>
    <w:rsid w:val="009B16D0"/>
    <w:rsid w:val="009B7B16"/>
    <w:rsid w:val="00A31D0C"/>
    <w:rsid w:val="00A437F3"/>
    <w:rsid w:val="00A75D4D"/>
    <w:rsid w:val="00A94CC6"/>
    <w:rsid w:val="00A96138"/>
    <w:rsid w:val="00AA2DE3"/>
    <w:rsid w:val="00B64146"/>
    <w:rsid w:val="00B91831"/>
    <w:rsid w:val="00BB43E3"/>
    <w:rsid w:val="00BC36B3"/>
    <w:rsid w:val="00C15373"/>
    <w:rsid w:val="00C22F25"/>
    <w:rsid w:val="00C564A5"/>
    <w:rsid w:val="00C67ED2"/>
    <w:rsid w:val="00CC2D9A"/>
    <w:rsid w:val="00CF04CF"/>
    <w:rsid w:val="00D0201D"/>
    <w:rsid w:val="00D14B8F"/>
    <w:rsid w:val="00D246F7"/>
    <w:rsid w:val="00D44F6D"/>
    <w:rsid w:val="00DA6AD6"/>
    <w:rsid w:val="00DD32B2"/>
    <w:rsid w:val="00E73372"/>
    <w:rsid w:val="00ED5558"/>
    <w:rsid w:val="00EF7B1B"/>
    <w:rsid w:val="00F01172"/>
    <w:rsid w:val="00F507F2"/>
    <w:rsid w:val="00FC03E5"/>
    <w:rsid w:val="00FC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162D"/>
  <w15:docId w15:val="{CEA95F6E-1D81-4D9E-A75B-975A61FC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01D"/>
  </w:style>
  <w:style w:type="paragraph" w:styleId="1">
    <w:name w:val="heading 1"/>
    <w:basedOn w:val="a"/>
    <w:next w:val="a"/>
    <w:link w:val="10"/>
    <w:uiPriority w:val="9"/>
    <w:qFormat/>
    <w:rsid w:val="00D02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2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20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2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20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20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2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201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2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20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2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02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20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20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0201D"/>
    <w:rPr>
      <w:b/>
      <w:bCs/>
    </w:rPr>
  </w:style>
  <w:style w:type="character" w:styleId="a9">
    <w:name w:val="Emphasis"/>
    <w:basedOn w:val="a0"/>
    <w:qFormat/>
    <w:rsid w:val="00D0201D"/>
    <w:rPr>
      <w:i/>
      <w:iCs/>
    </w:rPr>
  </w:style>
  <w:style w:type="paragraph" w:styleId="aa">
    <w:name w:val="No Spacing"/>
    <w:uiPriority w:val="1"/>
    <w:qFormat/>
    <w:rsid w:val="00D020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20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0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201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20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201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020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020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020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020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020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201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9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D09B-D02E-44CE-8BCB-15FCA5C8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Леонидовна</dc:creator>
  <cp:keywords/>
  <dc:description/>
  <cp:lastModifiedBy>Пользователь</cp:lastModifiedBy>
  <cp:revision>7</cp:revision>
  <cp:lastPrinted>2022-04-11T10:38:00Z</cp:lastPrinted>
  <dcterms:created xsi:type="dcterms:W3CDTF">2022-04-22T08:10:00Z</dcterms:created>
  <dcterms:modified xsi:type="dcterms:W3CDTF">2022-05-04T11:05:00Z</dcterms:modified>
</cp:coreProperties>
</file>