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D091B">
        <w:rPr>
          <w:sz w:val="26"/>
          <w:szCs w:val="26"/>
          <w:u w:val="single"/>
        </w:rPr>
        <w:t>2</w:t>
      </w:r>
      <w:r w:rsidR="00716F7F">
        <w:rPr>
          <w:sz w:val="26"/>
          <w:szCs w:val="26"/>
          <w:u w:val="single"/>
        </w:rPr>
        <w:t>0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D091B">
        <w:rPr>
          <w:sz w:val="26"/>
          <w:szCs w:val="26"/>
          <w:u w:val="single"/>
        </w:rPr>
        <w:t>817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4D091B" w:rsidRDefault="004D091B" w:rsidP="004D091B">
      <w:pPr>
        <w:jc w:val="center"/>
        <w:rPr>
          <w:b/>
          <w:sz w:val="26"/>
          <w:szCs w:val="26"/>
        </w:rPr>
      </w:pPr>
      <w:r w:rsidRPr="00372FD0">
        <w:rPr>
          <w:b/>
          <w:sz w:val="26"/>
          <w:szCs w:val="26"/>
        </w:rPr>
        <w:t xml:space="preserve">Об установлении </w:t>
      </w:r>
      <w:r>
        <w:rPr>
          <w:b/>
          <w:sz w:val="26"/>
          <w:szCs w:val="26"/>
        </w:rPr>
        <w:t>цен</w:t>
      </w:r>
      <w:r w:rsidRPr="00372FD0">
        <w:rPr>
          <w:b/>
          <w:sz w:val="26"/>
          <w:szCs w:val="26"/>
        </w:rPr>
        <w:t xml:space="preserve"> на платные услуги,</w:t>
      </w:r>
      <w:r>
        <w:rPr>
          <w:b/>
          <w:sz w:val="26"/>
          <w:szCs w:val="26"/>
        </w:rPr>
        <w:t xml:space="preserve"> </w:t>
      </w:r>
      <w:r w:rsidRPr="00372FD0">
        <w:rPr>
          <w:b/>
          <w:sz w:val="26"/>
          <w:szCs w:val="26"/>
        </w:rPr>
        <w:t xml:space="preserve">оказываемые </w:t>
      </w:r>
    </w:p>
    <w:p w:rsidR="004D091B" w:rsidRPr="00372FD0" w:rsidRDefault="004D091B" w:rsidP="004D09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Муниципальным </w:t>
      </w:r>
      <w:r w:rsidRPr="00372FD0">
        <w:rPr>
          <w:b/>
          <w:sz w:val="26"/>
          <w:szCs w:val="26"/>
        </w:rPr>
        <w:t>унитарным предприяти</w:t>
      </w:r>
      <w:r>
        <w:rPr>
          <w:b/>
          <w:sz w:val="26"/>
          <w:szCs w:val="26"/>
        </w:rPr>
        <w:t xml:space="preserve">ем </w:t>
      </w:r>
      <w:r>
        <w:rPr>
          <w:b/>
          <w:sz w:val="26"/>
          <w:szCs w:val="26"/>
        </w:rPr>
        <w:br/>
        <w:t>«</w:t>
      </w:r>
      <w:proofErr w:type="spellStart"/>
      <w:r w:rsidRPr="00372FD0">
        <w:rPr>
          <w:b/>
          <w:sz w:val="26"/>
          <w:szCs w:val="26"/>
        </w:rPr>
        <w:t>Шахунский</w:t>
      </w:r>
      <w:proofErr w:type="spellEnd"/>
      <w:r>
        <w:rPr>
          <w:b/>
          <w:sz w:val="26"/>
          <w:szCs w:val="26"/>
        </w:rPr>
        <w:t xml:space="preserve"> городской рынок» </w:t>
      </w:r>
    </w:p>
    <w:p w:rsidR="004D091B" w:rsidRDefault="004D091B" w:rsidP="004D091B">
      <w:pPr>
        <w:jc w:val="center"/>
      </w:pPr>
      <w:r>
        <w:rPr>
          <w:b/>
        </w:rPr>
        <w:t xml:space="preserve"> </w:t>
      </w:r>
      <w:r>
        <w:t xml:space="preserve"> </w:t>
      </w:r>
    </w:p>
    <w:p w:rsidR="004D091B" w:rsidRDefault="004D091B" w:rsidP="004D091B"/>
    <w:p w:rsidR="004D091B" w:rsidRPr="000A1648" w:rsidRDefault="004D091B" w:rsidP="004D091B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</w:t>
      </w:r>
      <w:r>
        <w:rPr>
          <w:sz w:val="26"/>
          <w:szCs w:val="26"/>
        </w:rPr>
        <w:t>ьным законом о</w:t>
      </w:r>
      <w:r>
        <w:rPr>
          <w:sz w:val="26"/>
          <w:szCs w:val="26"/>
        </w:rPr>
        <w:t xml:space="preserve">т 06.10.2003 № 131-ФЗ </w:t>
      </w:r>
      <w:r>
        <w:rPr>
          <w:sz w:val="26"/>
          <w:szCs w:val="26"/>
        </w:rPr>
        <w:t xml:space="preserve">«Об общих принципах организации местного </w:t>
      </w:r>
      <w:r w:rsidRPr="000A1648">
        <w:rPr>
          <w:sz w:val="26"/>
          <w:szCs w:val="26"/>
        </w:rPr>
        <w:t>самоупр</w:t>
      </w:r>
      <w:r>
        <w:rPr>
          <w:sz w:val="26"/>
          <w:szCs w:val="26"/>
        </w:rPr>
        <w:t xml:space="preserve">авления в Российской Федерации», </w:t>
      </w:r>
      <w:r w:rsidRPr="000A1648">
        <w:rPr>
          <w:sz w:val="26"/>
          <w:szCs w:val="26"/>
        </w:rPr>
        <w:t>Ус</w:t>
      </w:r>
      <w:r>
        <w:rPr>
          <w:sz w:val="26"/>
          <w:szCs w:val="26"/>
        </w:rPr>
        <w:t xml:space="preserve">тавом городского округа город Шахунья Нижегородской </w:t>
      </w:r>
      <w:r w:rsidRPr="000A1648">
        <w:rPr>
          <w:sz w:val="26"/>
          <w:szCs w:val="26"/>
        </w:rPr>
        <w:t>области, реш</w:t>
      </w:r>
      <w:r>
        <w:rPr>
          <w:sz w:val="26"/>
          <w:szCs w:val="26"/>
        </w:rPr>
        <w:t xml:space="preserve">ением  </w:t>
      </w:r>
      <w:r w:rsidRPr="000A1648">
        <w:rPr>
          <w:sz w:val="26"/>
          <w:szCs w:val="26"/>
        </w:rPr>
        <w:t>Сове</w:t>
      </w:r>
      <w:r>
        <w:rPr>
          <w:sz w:val="26"/>
          <w:szCs w:val="26"/>
        </w:rPr>
        <w:t xml:space="preserve">та депутатов городского округа город Шахунья Нижегородской области </w:t>
      </w:r>
      <w:r w:rsidRPr="000A1648">
        <w:rPr>
          <w:sz w:val="26"/>
          <w:szCs w:val="26"/>
        </w:rPr>
        <w:t xml:space="preserve">от </w:t>
      </w:r>
      <w:r>
        <w:rPr>
          <w:sz w:val="26"/>
          <w:szCs w:val="26"/>
        </w:rPr>
        <w:t>22.</w:t>
      </w:r>
      <w:r>
        <w:rPr>
          <w:sz w:val="26"/>
          <w:szCs w:val="26"/>
        </w:rPr>
        <w:t xml:space="preserve">02.2019 № 25-13 «Об  утверждении Положения </w:t>
      </w:r>
      <w:r w:rsidRPr="000A1648">
        <w:rPr>
          <w:sz w:val="26"/>
          <w:szCs w:val="26"/>
        </w:rPr>
        <w:t>о поря</w:t>
      </w:r>
      <w:r>
        <w:rPr>
          <w:sz w:val="26"/>
          <w:szCs w:val="26"/>
        </w:rPr>
        <w:t xml:space="preserve">дке </w:t>
      </w:r>
      <w:r>
        <w:rPr>
          <w:sz w:val="26"/>
          <w:szCs w:val="26"/>
        </w:rPr>
        <w:t xml:space="preserve">установления цен (тарифов) на товары (услуги) муниципальных </w:t>
      </w:r>
      <w:r w:rsidRPr="000A1648">
        <w:rPr>
          <w:sz w:val="26"/>
          <w:szCs w:val="26"/>
        </w:rPr>
        <w:t>предприятий</w:t>
      </w:r>
      <w:r>
        <w:rPr>
          <w:sz w:val="26"/>
          <w:szCs w:val="26"/>
        </w:rPr>
        <w:t xml:space="preserve">, организаций, </w:t>
      </w:r>
      <w:r>
        <w:rPr>
          <w:sz w:val="26"/>
          <w:szCs w:val="26"/>
        </w:rPr>
        <w:t>учреждений городского округа город Шахунья Нижегородской области»,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обращения</w:t>
      </w:r>
      <w:proofErr w:type="gramEnd"/>
      <w:r>
        <w:rPr>
          <w:sz w:val="26"/>
          <w:szCs w:val="26"/>
        </w:rPr>
        <w:t xml:space="preserve"> Муниципального унитар</w:t>
      </w:r>
      <w:r>
        <w:rPr>
          <w:sz w:val="26"/>
          <w:szCs w:val="26"/>
        </w:rPr>
        <w:t xml:space="preserve">ного предприятия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Шахунский</w:t>
      </w:r>
      <w:proofErr w:type="spellEnd"/>
      <w:r>
        <w:rPr>
          <w:sz w:val="26"/>
          <w:szCs w:val="26"/>
        </w:rPr>
        <w:t xml:space="preserve"> городской рынок» администрация городского округа город  Шахунья Нижегородской области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т:</w:t>
      </w:r>
    </w:p>
    <w:p w:rsidR="004D091B" w:rsidRPr="000A1648" w:rsidRDefault="004D091B" w:rsidP="004D091B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1.</w:t>
      </w:r>
      <w:r>
        <w:rPr>
          <w:sz w:val="26"/>
          <w:szCs w:val="26"/>
        </w:rPr>
        <w:t xml:space="preserve"> Установить цены на платные услуги для Муниципального унитарного                                                    предприятия</w:t>
      </w:r>
      <w:r w:rsidRPr="000A1648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Шахунский</w:t>
      </w:r>
      <w:proofErr w:type="spellEnd"/>
      <w:r>
        <w:rPr>
          <w:sz w:val="26"/>
          <w:szCs w:val="26"/>
        </w:rPr>
        <w:t xml:space="preserve"> городской рынок</w:t>
      </w:r>
      <w:r w:rsidRPr="000A1648">
        <w:rPr>
          <w:sz w:val="26"/>
          <w:szCs w:val="26"/>
        </w:rPr>
        <w:t>»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0A1648">
        <w:rPr>
          <w:sz w:val="26"/>
          <w:szCs w:val="26"/>
        </w:rPr>
        <w:t>.</w:t>
      </w:r>
    </w:p>
    <w:p w:rsidR="004D091B" w:rsidRDefault="004D091B" w:rsidP="004D091B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 постановление вступает в силу </w:t>
      </w:r>
      <w:r>
        <w:rPr>
          <w:sz w:val="26"/>
          <w:szCs w:val="26"/>
        </w:rPr>
        <w:t>с 1 августа 2021 года</w:t>
      </w:r>
      <w:r w:rsidRPr="000A1648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4D091B" w:rsidRDefault="004D091B" w:rsidP="004D091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4D091B" w:rsidRDefault="004D091B" w:rsidP="004D091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Со дня вступления в силу настоящего постановления признать утратившим силу:</w:t>
      </w:r>
    </w:p>
    <w:p w:rsidR="004D091B" w:rsidRDefault="004D091B" w:rsidP="004D091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постановление администрации городского округа город Шахунья Нижегородской области от 16.01.2017 № 44 «О</w:t>
      </w:r>
      <w:r w:rsidRPr="00BF2E89">
        <w:rPr>
          <w:sz w:val="26"/>
          <w:szCs w:val="26"/>
        </w:rPr>
        <w:t xml:space="preserve">б установлении </w:t>
      </w:r>
      <w:r>
        <w:rPr>
          <w:sz w:val="26"/>
          <w:szCs w:val="26"/>
        </w:rPr>
        <w:t>тарифов</w:t>
      </w:r>
      <w:r w:rsidRPr="00BF2E89">
        <w:rPr>
          <w:sz w:val="26"/>
          <w:szCs w:val="26"/>
        </w:rPr>
        <w:t xml:space="preserve"> на платные услуги, оказываемые</w:t>
      </w:r>
      <w:r>
        <w:rPr>
          <w:sz w:val="26"/>
          <w:szCs w:val="26"/>
        </w:rPr>
        <w:t xml:space="preserve"> муниципальным унитарным предприятием «</w:t>
      </w:r>
      <w:proofErr w:type="spellStart"/>
      <w:r>
        <w:rPr>
          <w:sz w:val="26"/>
          <w:szCs w:val="26"/>
        </w:rPr>
        <w:t>Шахунский</w:t>
      </w:r>
      <w:proofErr w:type="spellEnd"/>
      <w:r>
        <w:rPr>
          <w:sz w:val="26"/>
          <w:szCs w:val="26"/>
        </w:rPr>
        <w:t xml:space="preserve"> городской рынок»;</w:t>
      </w:r>
    </w:p>
    <w:p w:rsidR="004D091B" w:rsidRDefault="004D091B" w:rsidP="004D091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городского округа город Шахунья Нижегородской области от 20.07.2017 № 876 «О</w:t>
      </w:r>
      <w:r w:rsidRPr="00BF2E89">
        <w:rPr>
          <w:sz w:val="26"/>
          <w:szCs w:val="26"/>
        </w:rPr>
        <w:t xml:space="preserve"> внесении изменений в постановление администрации городского округа город </w:t>
      </w:r>
      <w:r>
        <w:rPr>
          <w:sz w:val="26"/>
          <w:szCs w:val="26"/>
        </w:rPr>
        <w:t>Шахунья Н</w:t>
      </w:r>
      <w:r w:rsidRPr="00BF2E89">
        <w:rPr>
          <w:sz w:val="26"/>
          <w:szCs w:val="26"/>
        </w:rPr>
        <w:t>ижегородско</w:t>
      </w:r>
      <w:r>
        <w:rPr>
          <w:sz w:val="26"/>
          <w:szCs w:val="26"/>
        </w:rPr>
        <w:t>й области от  16.01.2017 № 44 «О</w:t>
      </w:r>
      <w:r w:rsidRPr="00BF2E89">
        <w:rPr>
          <w:sz w:val="26"/>
          <w:szCs w:val="26"/>
        </w:rPr>
        <w:t xml:space="preserve">б установлении </w:t>
      </w:r>
      <w:r>
        <w:rPr>
          <w:sz w:val="26"/>
          <w:szCs w:val="26"/>
        </w:rPr>
        <w:t>тарифов</w:t>
      </w:r>
      <w:r w:rsidRPr="00BF2E89">
        <w:rPr>
          <w:sz w:val="26"/>
          <w:szCs w:val="26"/>
        </w:rPr>
        <w:t xml:space="preserve"> на платные услуги, оказываемые</w:t>
      </w:r>
      <w:r>
        <w:rPr>
          <w:sz w:val="26"/>
          <w:szCs w:val="26"/>
        </w:rPr>
        <w:t xml:space="preserve"> муниципальным унитарным предприятием «</w:t>
      </w:r>
      <w:proofErr w:type="spellStart"/>
      <w:r>
        <w:rPr>
          <w:sz w:val="26"/>
          <w:szCs w:val="26"/>
        </w:rPr>
        <w:t>Шахунский</w:t>
      </w:r>
      <w:proofErr w:type="spellEnd"/>
      <w:r>
        <w:rPr>
          <w:sz w:val="26"/>
          <w:szCs w:val="26"/>
        </w:rPr>
        <w:t xml:space="preserve"> городской рынок».</w:t>
      </w:r>
    </w:p>
    <w:p w:rsidR="00394895" w:rsidRDefault="004D091B" w:rsidP="004D091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Контроль </w:t>
      </w:r>
      <w:r w:rsidRPr="000A1648">
        <w:rPr>
          <w:sz w:val="26"/>
          <w:szCs w:val="26"/>
        </w:rPr>
        <w:t>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D091B" w:rsidRDefault="004D091B" w:rsidP="004D091B">
      <w:pPr>
        <w:jc w:val="both"/>
        <w:rPr>
          <w:sz w:val="26"/>
          <w:szCs w:val="26"/>
        </w:rPr>
      </w:pPr>
    </w:p>
    <w:p w:rsidR="004D091B" w:rsidRDefault="004D091B" w:rsidP="004D091B">
      <w:pPr>
        <w:jc w:val="both"/>
        <w:rPr>
          <w:sz w:val="26"/>
          <w:szCs w:val="26"/>
        </w:rPr>
      </w:pPr>
    </w:p>
    <w:p w:rsidR="004D091B" w:rsidRDefault="004D091B" w:rsidP="004D091B">
      <w:pPr>
        <w:jc w:val="both"/>
        <w:rPr>
          <w:sz w:val="26"/>
          <w:szCs w:val="26"/>
        </w:rPr>
      </w:pPr>
    </w:p>
    <w:p w:rsidR="004D091B" w:rsidRDefault="004D091B" w:rsidP="004D091B">
      <w:pPr>
        <w:jc w:val="both"/>
        <w:rPr>
          <w:sz w:val="26"/>
          <w:szCs w:val="26"/>
        </w:rPr>
      </w:pPr>
    </w:p>
    <w:p w:rsidR="004D091B" w:rsidRDefault="004D091B" w:rsidP="004D091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091B" w:rsidRDefault="004D091B" w:rsidP="004D091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4D091B" w:rsidRDefault="004D091B" w:rsidP="004D2212">
      <w:pPr>
        <w:jc w:val="both"/>
        <w:rPr>
          <w:sz w:val="22"/>
          <w:szCs w:val="22"/>
        </w:rPr>
      </w:pPr>
    </w:p>
    <w:p w:rsidR="004D091B" w:rsidRDefault="004D091B" w:rsidP="004D2212">
      <w:pPr>
        <w:jc w:val="both"/>
        <w:rPr>
          <w:sz w:val="22"/>
          <w:szCs w:val="22"/>
        </w:rPr>
      </w:pPr>
    </w:p>
    <w:p w:rsidR="004D091B" w:rsidRDefault="004D091B" w:rsidP="004D2212">
      <w:pPr>
        <w:jc w:val="both"/>
        <w:rPr>
          <w:sz w:val="22"/>
          <w:szCs w:val="22"/>
        </w:rPr>
      </w:pPr>
    </w:p>
    <w:p w:rsidR="004D091B" w:rsidRDefault="004D091B" w:rsidP="004D2212">
      <w:pPr>
        <w:jc w:val="both"/>
        <w:rPr>
          <w:sz w:val="22"/>
          <w:szCs w:val="22"/>
        </w:rPr>
      </w:pPr>
    </w:p>
    <w:p w:rsidR="004D091B" w:rsidRDefault="004D091B" w:rsidP="004D2212">
      <w:pPr>
        <w:jc w:val="both"/>
        <w:rPr>
          <w:sz w:val="22"/>
          <w:szCs w:val="22"/>
        </w:rPr>
      </w:pPr>
    </w:p>
    <w:p w:rsidR="004D091B" w:rsidRDefault="004D091B" w:rsidP="004D091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D091B" w:rsidRPr="004D091B" w:rsidRDefault="004D091B" w:rsidP="004D091B">
      <w:pPr>
        <w:spacing w:line="100" w:lineRule="atLeast"/>
        <w:jc w:val="center"/>
        <w:rPr>
          <w:sz w:val="26"/>
          <w:szCs w:val="26"/>
        </w:rPr>
      </w:pPr>
      <w:r w:rsidRPr="004D091B">
        <w:rPr>
          <w:sz w:val="26"/>
          <w:szCs w:val="26"/>
        </w:rPr>
        <w:lastRenderedPageBreak/>
        <w:t xml:space="preserve">                                                                                         Приложение</w:t>
      </w:r>
    </w:p>
    <w:p w:rsidR="004D091B" w:rsidRPr="004D091B" w:rsidRDefault="004D091B" w:rsidP="004D091B">
      <w:pPr>
        <w:ind w:left="5760"/>
        <w:jc w:val="center"/>
        <w:rPr>
          <w:sz w:val="26"/>
          <w:szCs w:val="26"/>
        </w:rPr>
      </w:pPr>
      <w:r w:rsidRPr="004D091B">
        <w:rPr>
          <w:sz w:val="26"/>
          <w:szCs w:val="26"/>
        </w:rPr>
        <w:t>к постановлению администрации</w:t>
      </w:r>
    </w:p>
    <w:p w:rsidR="004D091B" w:rsidRPr="004D091B" w:rsidRDefault="004D091B" w:rsidP="004D091B">
      <w:pPr>
        <w:ind w:left="5760"/>
        <w:jc w:val="center"/>
        <w:rPr>
          <w:sz w:val="26"/>
          <w:szCs w:val="26"/>
        </w:rPr>
      </w:pPr>
      <w:r w:rsidRPr="004D091B">
        <w:rPr>
          <w:sz w:val="26"/>
          <w:szCs w:val="26"/>
        </w:rPr>
        <w:t>городского округа город Шахунья</w:t>
      </w:r>
    </w:p>
    <w:p w:rsidR="004D091B" w:rsidRPr="004D091B" w:rsidRDefault="004D091B" w:rsidP="004D091B">
      <w:pPr>
        <w:ind w:left="5760"/>
        <w:jc w:val="center"/>
        <w:rPr>
          <w:sz w:val="26"/>
          <w:szCs w:val="26"/>
        </w:rPr>
      </w:pPr>
      <w:r w:rsidRPr="004D091B">
        <w:rPr>
          <w:sz w:val="26"/>
          <w:szCs w:val="26"/>
        </w:rPr>
        <w:t xml:space="preserve">от </w:t>
      </w:r>
      <w:r w:rsidRPr="004D091B">
        <w:rPr>
          <w:sz w:val="26"/>
          <w:szCs w:val="26"/>
        </w:rPr>
        <w:t>20.07.2021 г.</w:t>
      </w:r>
      <w:r w:rsidRPr="004D091B">
        <w:rPr>
          <w:sz w:val="26"/>
          <w:szCs w:val="26"/>
        </w:rPr>
        <w:t xml:space="preserve"> № </w:t>
      </w:r>
      <w:r w:rsidRPr="004D091B">
        <w:rPr>
          <w:sz w:val="26"/>
          <w:szCs w:val="26"/>
        </w:rPr>
        <w:t>817</w:t>
      </w:r>
    </w:p>
    <w:p w:rsidR="004D091B" w:rsidRDefault="004D091B" w:rsidP="004D091B">
      <w:pPr>
        <w:jc w:val="center"/>
      </w:pPr>
      <w:r>
        <w:t xml:space="preserve">                                                   </w:t>
      </w:r>
    </w:p>
    <w:p w:rsidR="004D091B" w:rsidRDefault="004D091B" w:rsidP="004D091B">
      <w:pPr>
        <w:jc w:val="center"/>
      </w:pPr>
    </w:p>
    <w:p w:rsidR="004D091B" w:rsidRDefault="004D091B" w:rsidP="004D091B">
      <w:pPr>
        <w:jc w:val="center"/>
      </w:pPr>
      <w:r>
        <w:t xml:space="preserve">                                         </w:t>
      </w:r>
    </w:p>
    <w:p w:rsidR="004D091B" w:rsidRPr="004D091B" w:rsidRDefault="004D091B" w:rsidP="004D091B">
      <w:pPr>
        <w:jc w:val="center"/>
        <w:rPr>
          <w:b/>
          <w:sz w:val="26"/>
          <w:szCs w:val="26"/>
        </w:rPr>
      </w:pPr>
      <w:r w:rsidRPr="004D091B">
        <w:rPr>
          <w:b/>
          <w:sz w:val="26"/>
          <w:szCs w:val="26"/>
        </w:rPr>
        <w:t>Цены</w:t>
      </w:r>
      <w:r w:rsidRPr="004D091B">
        <w:rPr>
          <w:b/>
          <w:sz w:val="26"/>
          <w:szCs w:val="26"/>
        </w:rPr>
        <w:t xml:space="preserve"> </w:t>
      </w:r>
      <w:r w:rsidRPr="004D091B">
        <w:rPr>
          <w:b/>
          <w:sz w:val="26"/>
          <w:szCs w:val="26"/>
        </w:rPr>
        <w:t>на платные услуги, оказываемые</w:t>
      </w:r>
    </w:p>
    <w:p w:rsidR="004D091B" w:rsidRPr="004D091B" w:rsidRDefault="004D091B" w:rsidP="004D091B">
      <w:pPr>
        <w:jc w:val="center"/>
        <w:rPr>
          <w:b/>
          <w:sz w:val="26"/>
          <w:szCs w:val="26"/>
        </w:rPr>
      </w:pPr>
      <w:r w:rsidRPr="004D091B">
        <w:rPr>
          <w:b/>
          <w:sz w:val="26"/>
          <w:szCs w:val="26"/>
        </w:rPr>
        <w:t xml:space="preserve">Муниципальным унитарным предприятием </w:t>
      </w:r>
      <w:r w:rsidRPr="004D091B">
        <w:rPr>
          <w:b/>
          <w:sz w:val="26"/>
          <w:szCs w:val="26"/>
        </w:rPr>
        <w:br/>
        <w:t>«</w:t>
      </w:r>
      <w:proofErr w:type="spellStart"/>
      <w:r w:rsidRPr="004D091B">
        <w:rPr>
          <w:b/>
          <w:sz w:val="26"/>
          <w:szCs w:val="26"/>
        </w:rPr>
        <w:t>Шахунский</w:t>
      </w:r>
      <w:proofErr w:type="spellEnd"/>
      <w:r w:rsidRPr="004D091B">
        <w:rPr>
          <w:b/>
          <w:sz w:val="26"/>
          <w:szCs w:val="26"/>
        </w:rPr>
        <w:t xml:space="preserve"> городской рынок» </w:t>
      </w:r>
    </w:p>
    <w:p w:rsidR="004D091B" w:rsidRDefault="004D091B" w:rsidP="004D091B">
      <w:pPr>
        <w:rPr>
          <w:b/>
          <w:sz w:val="28"/>
          <w:szCs w:val="28"/>
          <w:u w:val="single"/>
        </w:rPr>
      </w:pPr>
    </w:p>
    <w:p w:rsidR="004D091B" w:rsidRDefault="004D091B" w:rsidP="004D091B"/>
    <w:tbl>
      <w:tblPr>
        <w:tblW w:w="9512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5583"/>
        <w:gridCol w:w="1701"/>
        <w:gridCol w:w="1588"/>
      </w:tblGrid>
      <w:tr w:rsidR="004D091B" w:rsidRPr="009C5CF3" w:rsidTr="001A36A0">
        <w:trPr>
          <w:trHeight w:val="53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B" w:rsidRDefault="004D091B" w:rsidP="001A36A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D091B" w:rsidRPr="009C5CF3" w:rsidRDefault="004D091B" w:rsidP="001A36A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B" w:rsidRPr="009C5CF3" w:rsidRDefault="004D091B" w:rsidP="001A36A0">
            <w:pPr>
              <w:jc w:val="center"/>
              <w:rPr>
                <w:b/>
              </w:rPr>
            </w:pPr>
            <w:r w:rsidRPr="009C5CF3">
              <w:rPr>
                <w:b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B" w:rsidRPr="009C5CF3" w:rsidRDefault="004D091B" w:rsidP="001A36A0">
            <w:pPr>
              <w:jc w:val="center"/>
              <w:rPr>
                <w:b/>
              </w:rPr>
            </w:pPr>
            <w:r w:rsidRPr="009C5CF3">
              <w:rPr>
                <w:b/>
              </w:rPr>
              <w:t>Единица,</w:t>
            </w:r>
          </w:p>
          <w:p w:rsidR="004D091B" w:rsidRPr="009C5CF3" w:rsidRDefault="004D091B" w:rsidP="001A36A0">
            <w:pPr>
              <w:jc w:val="center"/>
              <w:rPr>
                <w:b/>
              </w:rPr>
            </w:pPr>
            <w:r w:rsidRPr="009C5CF3">
              <w:rPr>
                <w:b/>
              </w:rPr>
              <w:t>измерения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1B" w:rsidRPr="009C5CF3" w:rsidRDefault="004D091B" w:rsidP="001A36A0">
            <w:pPr>
              <w:jc w:val="center"/>
              <w:rPr>
                <w:b/>
              </w:rPr>
            </w:pPr>
            <w:r w:rsidRPr="009C5CF3">
              <w:rPr>
                <w:b/>
              </w:rPr>
              <w:t>Стоимость</w:t>
            </w:r>
            <w:r>
              <w:rPr>
                <w:b/>
              </w:rPr>
              <w:t>,</w:t>
            </w:r>
          </w:p>
          <w:p w:rsidR="004D091B" w:rsidRPr="009C5CF3" w:rsidRDefault="004D091B" w:rsidP="001A36A0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4D091B" w:rsidRPr="009C5CF3" w:rsidTr="001A36A0">
        <w:trPr>
          <w:trHeight w:val="61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1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Предоставление места для торговли на территории городского рынка на открытой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1 м</w:t>
            </w:r>
            <w:proofErr w:type="gramStart"/>
            <w:r w:rsidRPr="0097284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45</w:t>
            </w:r>
          </w:p>
        </w:tc>
      </w:tr>
      <w:tr w:rsidR="004D091B" w:rsidRPr="009C5CF3" w:rsidTr="001A36A0">
        <w:trPr>
          <w:trHeight w:val="61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/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>
              <w:t>5 м</w:t>
            </w:r>
            <w:proofErr w:type="gramStart"/>
            <w:r w:rsidRPr="0097284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>
              <w:t>225</w:t>
            </w:r>
          </w:p>
        </w:tc>
      </w:tr>
      <w:tr w:rsidR="004D091B" w:rsidRPr="009C5CF3" w:rsidTr="001A36A0">
        <w:trPr>
          <w:trHeight w:val="434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/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- льготная цена (для пенсионеров)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40</w:t>
            </w:r>
          </w:p>
        </w:tc>
      </w:tr>
      <w:tr w:rsidR="004D091B" w:rsidRPr="009C5CF3" w:rsidTr="001A36A0">
        <w:trPr>
          <w:trHeight w:val="434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/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A03DDB" w:rsidRDefault="004D091B" w:rsidP="001A36A0">
            <w:pPr>
              <w:jc w:val="center"/>
            </w:pPr>
            <w:r>
              <w:t>5 м</w:t>
            </w:r>
            <w:proofErr w:type="gramStart"/>
            <w:r w:rsidRPr="0097284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>
              <w:t>200</w:t>
            </w:r>
          </w:p>
        </w:tc>
      </w:tr>
      <w:tr w:rsidR="004D091B" w:rsidRPr="009C5CF3" w:rsidTr="001A36A0">
        <w:trPr>
          <w:trHeight w:val="68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Размещение закрытого киоска, контейнера для хранения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70</w:t>
            </w:r>
          </w:p>
        </w:tc>
      </w:tr>
      <w:tr w:rsidR="004D091B" w:rsidRPr="009C5CF3" w:rsidTr="001A36A0">
        <w:trPr>
          <w:trHeight w:val="70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Размещение нестационарного сооружения для осуществления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165</w:t>
            </w:r>
          </w:p>
        </w:tc>
      </w:tr>
      <w:tr w:rsidR="004D091B" w:rsidRPr="009C5CF3" w:rsidTr="001A36A0">
        <w:trPr>
          <w:trHeight w:val="483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4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Услуги платного туалета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 w:rsidRPr="00A03DDB">
              <w:t xml:space="preserve">1 </w:t>
            </w:r>
            <w:r>
              <w:t>посещение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15</w:t>
            </w:r>
          </w:p>
        </w:tc>
      </w:tr>
      <w:tr w:rsidR="004D091B" w:rsidRPr="009C5CF3" w:rsidTr="001A36A0">
        <w:trPr>
          <w:trHeight w:val="486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/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>
              <w:t>10 посещений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150</w:t>
            </w:r>
          </w:p>
        </w:tc>
      </w:tr>
      <w:tr w:rsidR="004D091B" w:rsidRPr="009C5CF3" w:rsidTr="001A36A0">
        <w:trPr>
          <w:trHeight w:val="476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5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Услуги въезда автотранспорта на территорию городского рынка:</w:t>
            </w:r>
          </w:p>
        </w:tc>
      </w:tr>
      <w:tr w:rsidR="004D091B" w:rsidRPr="009C5CF3" w:rsidTr="001A36A0">
        <w:trPr>
          <w:trHeight w:val="48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/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- легкового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 w:rsidRPr="007E68CF">
              <w:t xml:space="preserve">1 </w:t>
            </w:r>
            <w:r>
              <w:t>ед</w:t>
            </w:r>
            <w:r w:rsidRPr="007E68CF"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18</w:t>
            </w:r>
          </w:p>
        </w:tc>
      </w:tr>
      <w:tr w:rsidR="004D091B" w:rsidRPr="009C5CF3" w:rsidTr="001A36A0">
        <w:trPr>
          <w:trHeight w:val="417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/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- грузового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 w:rsidRPr="007E68CF">
              <w:t xml:space="preserve">1 </w:t>
            </w:r>
            <w:r>
              <w:t>ед</w:t>
            </w:r>
            <w:r w:rsidRPr="007E68CF"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40</w:t>
            </w:r>
          </w:p>
        </w:tc>
      </w:tr>
      <w:tr w:rsidR="004D091B" w:rsidRPr="009C5CF3" w:rsidTr="001A36A0">
        <w:trPr>
          <w:trHeight w:val="408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/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- абонемент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>
              <w:t>1 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200</w:t>
            </w:r>
          </w:p>
        </w:tc>
      </w:tr>
      <w:tr w:rsidR="004D091B" w:rsidRPr="009C5CF3" w:rsidTr="001A36A0">
        <w:trPr>
          <w:trHeight w:val="428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6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 xml:space="preserve">Предоставление места для торговли на открытой площадке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40</w:t>
            </w:r>
          </w:p>
        </w:tc>
      </w:tr>
      <w:tr w:rsidR="004D091B" w:rsidRPr="009C5CF3" w:rsidTr="001A36A0">
        <w:trPr>
          <w:trHeight w:val="421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/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>
              <w:t>5</w:t>
            </w:r>
            <w:r w:rsidRPr="00A03DDB">
              <w:t xml:space="preserve">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200</w:t>
            </w:r>
          </w:p>
        </w:tc>
      </w:tr>
      <w:tr w:rsidR="004D091B" w:rsidRPr="009C5CF3" w:rsidTr="001A36A0">
        <w:trPr>
          <w:trHeight w:val="413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>7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r>
              <w:t xml:space="preserve">Предоставление места для торговли на открытой площадке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Сява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38</w:t>
            </w:r>
          </w:p>
        </w:tc>
      </w:tr>
      <w:tr w:rsidR="004D091B" w:rsidRPr="009C5CF3" w:rsidTr="001A36A0">
        <w:trPr>
          <w:trHeight w:val="404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/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Default="004D091B" w:rsidP="001A36A0">
            <w:pPr>
              <w:jc w:val="center"/>
            </w:pPr>
            <w:r>
              <w:t>5</w:t>
            </w:r>
            <w:r w:rsidRPr="00A03DDB">
              <w:t xml:space="preserve">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B" w:rsidRPr="009C5CF3" w:rsidRDefault="004D091B" w:rsidP="001A36A0">
            <w:pPr>
              <w:jc w:val="center"/>
            </w:pPr>
            <w:r>
              <w:t>175</w:t>
            </w:r>
          </w:p>
        </w:tc>
      </w:tr>
    </w:tbl>
    <w:p w:rsidR="004D091B" w:rsidRDefault="004D091B" w:rsidP="004D091B">
      <w:pPr>
        <w:ind w:left="-1440" w:firstLine="720"/>
        <w:jc w:val="both"/>
      </w:pPr>
    </w:p>
    <w:p w:rsidR="004D091B" w:rsidRDefault="004D091B" w:rsidP="004D091B">
      <w:pPr>
        <w:ind w:left="-1440" w:firstLine="720"/>
        <w:jc w:val="both"/>
      </w:pPr>
    </w:p>
    <w:p w:rsidR="004D091B" w:rsidRDefault="004D091B" w:rsidP="004D091B">
      <w:pPr>
        <w:ind w:left="-1440" w:firstLine="720"/>
        <w:jc w:val="center"/>
      </w:pPr>
      <w:r>
        <w:t>___________________</w:t>
      </w:r>
    </w:p>
    <w:p w:rsidR="004D091B" w:rsidRDefault="004D091B" w:rsidP="004D091B">
      <w:pPr>
        <w:ind w:right="283"/>
        <w:jc w:val="center"/>
        <w:rPr>
          <w:sz w:val="28"/>
          <w:szCs w:val="28"/>
        </w:rPr>
      </w:pPr>
    </w:p>
    <w:p w:rsidR="0085151D" w:rsidRPr="004D091B" w:rsidRDefault="0085151D" w:rsidP="004D091B">
      <w:pPr>
        <w:jc w:val="both"/>
        <w:rPr>
          <w:sz w:val="22"/>
          <w:szCs w:val="22"/>
        </w:rPr>
      </w:pPr>
    </w:p>
    <w:sectPr w:rsidR="0085151D" w:rsidRPr="004D091B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96" w:rsidRDefault="00E52896">
      <w:r>
        <w:separator/>
      </w:r>
    </w:p>
  </w:endnote>
  <w:endnote w:type="continuationSeparator" w:id="0">
    <w:p w:rsidR="00E52896" w:rsidRDefault="00E5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96" w:rsidRDefault="00E52896">
      <w:r>
        <w:separator/>
      </w:r>
    </w:p>
  </w:footnote>
  <w:footnote w:type="continuationSeparator" w:id="0">
    <w:p w:rsidR="00E52896" w:rsidRDefault="00E5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4D7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91B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896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7884-2CC9-4228-9D84-2A31725B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2021-07-20T07:21:00Z</cp:lastPrinted>
  <dcterms:created xsi:type="dcterms:W3CDTF">2021-07-20T07:26:00Z</dcterms:created>
  <dcterms:modified xsi:type="dcterms:W3CDTF">2021-07-20T07:26:00Z</dcterms:modified>
</cp:coreProperties>
</file>