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D065DC">
        <w:rPr>
          <w:sz w:val="26"/>
          <w:szCs w:val="26"/>
          <w:u w:val="single"/>
        </w:rPr>
        <w:t>8</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D065DC">
        <w:rPr>
          <w:sz w:val="26"/>
          <w:szCs w:val="26"/>
          <w:u w:val="single"/>
        </w:rPr>
        <w:t>382</w:t>
      </w:r>
    </w:p>
    <w:p w:rsidR="00C7504B" w:rsidRPr="00E47CD2" w:rsidRDefault="00C7504B" w:rsidP="005B09E8">
      <w:pPr>
        <w:jc w:val="both"/>
      </w:pPr>
    </w:p>
    <w:p w:rsidR="00E47CD2" w:rsidRPr="00E47CD2" w:rsidRDefault="00E47CD2" w:rsidP="005B09E8">
      <w:pPr>
        <w:jc w:val="both"/>
      </w:pPr>
    </w:p>
    <w:p w:rsidR="00D065DC" w:rsidRDefault="00D065DC" w:rsidP="00D065DC">
      <w:pPr>
        <w:jc w:val="center"/>
        <w:rPr>
          <w:b/>
          <w:sz w:val="26"/>
          <w:szCs w:val="26"/>
        </w:rPr>
      </w:pPr>
      <w:r w:rsidRPr="00424BFF">
        <w:rPr>
          <w:b/>
          <w:sz w:val="26"/>
          <w:szCs w:val="26"/>
        </w:rPr>
        <w:t xml:space="preserve">О введении временного ограничения движения транспортных средств по автомобильным дорогам местного значения на территории городского округа </w:t>
      </w:r>
      <w:r w:rsidRPr="00424BFF">
        <w:rPr>
          <w:b/>
          <w:sz w:val="26"/>
          <w:szCs w:val="26"/>
        </w:rPr>
        <w:br/>
        <w:t>город Шахунья Нижегородской области в весенний период 20</w:t>
      </w:r>
      <w:r>
        <w:rPr>
          <w:b/>
          <w:sz w:val="26"/>
          <w:szCs w:val="26"/>
        </w:rPr>
        <w:t>21</w:t>
      </w:r>
      <w:r w:rsidRPr="00424BFF">
        <w:rPr>
          <w:b/>
          <w:sz w:val="26"/>
          <w:szCs w:val="26"/>
        </w:rPr>
        <w:t xml:space="preserve"> года</w:t>
      </w:r>
    </w:p>
    <w:p w:rsidR="00D065DC" w:rsidRDefault="00D065DC" w:rsidP="00D065DC">
      <w:pPr>
        <w:jc w:val="center"/>
        <w:rPr>
          <w:b/>
          <w:sz w:val="26"/>
          <w:szCs w:val="26"/>
        </w:rPr>
      </w:pPr>
    </w:p>
    <w:p w:rsidR="00D065DC" w:rsidRPr="00424BFF" w:rsidRDefault="00D065DC" w:rsidP="00D065DC">
      <w:pPr>
        <w:jc w:val="center"/>
        <w:rPr>
          <w:b/>
          <w:sz w:val="26"/>
          <w:szCs w:val="26"/>
        </w:rPr>
      </w:pPr>
    </w:p>
    <w:p w:rsidR="00D065DC" w:rsidRPr="00424BFF" w:rsidRDefault="00D065DC" w:rsidP="00D065DC">
      <w:pPr>
        <w:tabs>
          <w:tab w:val="left" w:pos="993"/>
        </w:tabs>
        <w:spacing w:line="360" w:lineRule="exact"/>
        <w:ind w:firstLine="709"/>
        <w:jc w:val="both"/>
        <w:rPr>
          <w:sz w:val="26"/>
          <w:szCs w:val="26"/>
        </w:rPr>
      </w:pPr>
      <w:proofErr w:type="gramStart"/>
      <w:r w:rsidRPr="00424BFF">
        <w:rPr>
          <w:sz w:val="26"/>
          <w:szCs w:val="26"/>
        </w:rPr>
        <w:t xml:space="preserve">Руководствуясь ст. 14 Федерального закона от 10.12.1995 № 196-ФЗ «О безопасности дорожного движения», ст.13, 30 Федерального закона от 08.11.2007 </w:t>
      </w:r>
      <w:r w:rsidRPr="00424BFF">
        <w:rPr>
          <w:sz w:val="26"/>
          <w:szCs w:val="26"/>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16 Федерального закона от 06.10.2003 №  131-ФЗ «Об общих принципах организации местного самоуправления в Российской Федерации», Законом Нижегородской области от</w:t>
      </w:r>
      <w:proofErr w:type="gramEnd"/>
      <w:r w:rsidRPr="00424BFF">
        <w:rPr>
          <w:sz w:val="26"/>
          <w:szCs w:val="26"/>
        </w:rPr>
        <w:t xml:space="preserve"> </w:t>
      </w:r>
      <w:proofErr w:type="gramStart"/>
      <w:r w:rsidRPr="00424BFF">
        <w:rPr>
          <w:sz w:val="26"/>
          <w:szCs w:val="26"/>
        </w:rPr>
        <w:t>04.12.2008 № 157-З «Об автомобильных дорогах и о дорожной деятельности в Нижегородской области», постановлением Правительства Нижегородской области от 07.02.2012 № 61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w:t>
      </w:r>
      <w:r>
        <w:rPr>
          <w:sz w:val="26"/>
          <w:szCs w:val="26"/>
        </w:rPr>
        <w:t xml:space="preserve">ачения Нижегородской области», </w:t>
      </w:r>
      <w:r w:rsidRPr="00424BFF">
        <w:rPr>
          <w:sz w:val="26"/>
          <w:szCs w:val="26"/>
        </w:rPr>
        <w:t>ст. 36 Устава городского округа город Шахунья Нижегородской области, в целях предотвращения в весенний период снижения несущей способности элементов автомобильных</w:t>
      </w:r>
      <w:proofErr w:type="gramEnd"/>
      <w:r w:rsidRPr="00424BFF">
        <w:rPr>
          <w:sz w:val="26"/>
          <w:szCs w:val="26"/>
        </w:rPr>
        <w:t xml:space="preserve"> дорог местного значения на территории городского округа город Шахунья Нижегородской области, вызванных их переувлажнением, администрация городского округа город Шахунья Нижегородской области  </w:t>
      </w:r>
      <w:proofErr w:type="gramStart"/>
      <w:r w:rsidRPr="00424BFF">
        <w:rPr>
          <w:b/>
          <w:sz w:val="26"/>
          <w:szCs w:val="26"/>
        </w:rPr>
        <w:t>п</w:t>
      </w:r>
      <w:proofErr w:type="gramEnd"/>
      <w:r w:rsidRPr="00424BFF">
        <w:rPr>
          <w:b/>
          <w:sz w:val="26"/>
          <w:szCs w:val="26"/>
        </w:rPr>
        <w:t xml:space="preserve"> о с т а н о в л я е т:</w:t>
      </w:r>
    </w:p>
    <w:p w:rsidR="00D065DC" w:rsidRPr="00424BFF" w:rsidRDefault="00D065DC" w:rsidP="00D065DC">
      <w:pPr>
        <w:numPr>
          <w:ilvl w:val="0"/>
          <w:numId w:val="18"/>
        </w:numPr>
        <w:tabs>
          <w:tab w:val="left" w:pos="993"/>
        </w:tabs>
        <w:spacing w:line="360" w:lineRule="exact"/>
        <w:ind w:left="0" w:firstLine="709"/>
        <w:jc w:val="both"/>
        <w:rPr>
          <w:sz w:val="26"/>
          <w:szCs w:val="26"/>
        </w:rPr>
      </w:pPr>
      <w:proofErr w:type="gramStart"/>
      <w:r>
        <w:rPr>
          <w:sz w:val="26"/>
          <w:szCs w:val="26"/>
        </w:rPr>
        <w:t xml:space="preserve">Ввести в период с 16 апреля 2021 года по 16 мая 2021 года до полного просыхания дорожной одежды на срок не более 30 дней временное ограничение движения по автомобильным дорогам местного значения городского округа город Шахунья Нижегородской области, имеющим твердое покрытие: асфальтобетонное, гравийное, щебеночное и другие, тяжеловесных транспортных средств с разрешенной </w:t>
      </w:r>
      <w:r>
        <w:rPr>
          <w:sz w:val="26"/>
          <w:szCs w:val="26"/>
        </w:rPr>
        <w:lastRenderedPageBreak/>
        <w:t>максимальной массой 5 тонн и более.</w:t>
      </w:r>
      <w:proofErr w:type="gramEnd"/>
      <w:r>
        <w:rPr>
          <w:sz w:val="26"/>
          <w:szCs w:val="26"/>
        </w:rPr>
        <w:t xml:space="preserve"> Срок ограничения продлевается в случае неблагоприятных природно-климатических условий, но не более чем на 10 дней.</w:t>
      </w:r>
    </w:p>
    <w:p w:rsidR="00D065DC" w:rsidRDefault="00D065DC" w:rsidP="00D065DC">
      <w:pPr>
        <w:numPr>
          <w:ilvl w:val="0"/>
          <w:numId w:val="18"/>
        </w:numPr>
        <w:tabs>
          <w:tab w:val="left" w:pos="993"/>
        </w:tabs>
        <w:spacing w:line="360" w:lineRule="exact"/>
        <w:ind w:left="0" w:firstLine="709"/>
        <w:jc w:val="both"/>
        <w:rPr>
          <w:sz w:val="26"/>
          <w:szCs w:val="26"/>
        </w:rPr>
      </w:pPr>
      <w:r>
        <w:rPr>
          <w:sz w:val="26"/>
          <w:szCs w:val="26"/>
        </w:rPr>
        <w:t>Прекратить в период с 16 апреля 2021 года по 16 мая 2021 года движение тяжеловесных транспортных сре</w:t>
      </w:r>
      <w:proofErr w:type="gramStart"/>
      <w:r>
        <w:rPr>
          <w:sz w:val="26"/>
          <w:szCs w:val="26"/>
        </w:rPr>
        <w:t>дств с р</w:t>
      </w:r>
      <w:proofErr w:type="gramEnd"/>
      <w:r>
        <w:rPr>
          <w:sz w:val="26"/>
          <w:szCs w:val="26"/>
        </w:rPr>
        <w:t>азрешенной максимальной массой 5 тонн и более по автомобильным дорогам местного значения городского округа город Шахунья Нижегородской области, имеющим твердое покрытие: асфальтобетонное, гравийное, щебеночное и другие.</w:t>
      </w:r>
    </w:p>
    <w:p w:rsidR="00D065DC" w:rsidRPr="00424BFF" w:rsidRDefault="00D065DC" w:rsidP="00D065DC">
      <w:pPr>
        <w:numPr>
          <w:ilvl w:val="0"/>
          <w:numId w:val="18"/>
        </w:numPr>
        <w:tabs>
          <w:tab w:val="left" w:pos="993"/>
        </w:tabs>
        <w:spacing w:line="360" w:lineRule="exact"/>
        <w:ind w:left="0" w:firstLine="709"/>
        <w:jc w:val="both"/>
        <w:rPr>
          <w:sz w:val="26"/>
          <w:szCs w:val="26"/>
        </w:rPr>
      </w:pPr>
      <w:r w:rsidRPr="00424BFF">
        <w:rPr>
          <w:sz w:val="26"/>
          <w:szCs w:val="26"/>
        </w:rPr>
        <w:t>Временное ограничение движения транспортных средств, указанное в пункте 1 настоящего постановления, не распространяется:</w:t>
      </w:r>
    </w:p>
    <w:p w:rsidR="00D065DC" w:rsidRDefault="00D065DC" w:rsidP="00D065DC">
      <w:pPr>
        <w:pStyle w:val="ad"/>
        <w:widowControl w:val="0"/>
        <w:numPr>
          <w:ilvl w:val="1"/>
          <w:numId w:val="18"/>
        </w:numPr>
        <w:tabs>
          <w:tab w:val="left" w:pos="1134"/>
        </w:tabs>
        <w:spacing w:after="0" w:line="360" w:lineRule="exact"/>
        <w:ind w:left="0" w:firstLine="709"/>
        <w:jc w:val="both"/>
        <w:rPr>
          <w:rFonts w:ascii="Times New Roman" w:hAnsi="Times New Roman"/>
          <w:sz w:val="26"/>
          <w:szCs w:val="26"/>
        </w:rPr>
      </w:pPr>
      <w:r w:rsidRPr="00114F39">
        <w:rPr>
          <w:rFonts w:ascii="Times New Roman" w:hAnsi="Times New Roman"/>
          <w:sz w:val="26"/>
          <w:szCs w:val="26"/>
        </w:rPr>
        <w:t>на международные перевозки грузов;</w:t>
      </w:r>
    </w:p>
    <w:p w:rsidR="00D065DC" w:rsidRDefault="00D065DC" w:rsidP="00D065DC">
      <w:pPr>
        <w:pStyle w:val="ad"/>
        <w:widowControl w:val="0"/>
        <w:tabs>
          <w:tab w:val="left" w:pos="1134"/>
        </w:tabs>
        <w:spacing w:after="0" w:line="360" w:lineRule="exact"/>
        <w:ind w:left="0" w:firstLine="709"/>
        <w:jc w:val="both"/>
        <w:rPr>
          <w:rFonts w:ascii="Times New Roman" w:hAnsi="Times New Roman"/>
          <w:sz w:val="26"/>
          <w:szCs w:val="26"/>
        </w:rPr>
      </w:pPr>
      <w:r w:rsidRPr="00114F39">
        <w:rPr>
          <w:rFonts w:ascii="Times New Roman" w:hAnsi="Times New Roman"/>
          <w:sz w:val="26"/>
          <w:szCs w:val="26"/>
        </w:rPr>
        <w:t>3.2. на пассажирские перевозки автобус</w:t>
      </w:r>
      <w:r>
        <w:rPr>
          <w:rFonts w:ascii="Times New Roman" w:hAnsi="Times New Roman"/>
          <w:sz w:val="26"/>
          <w:szCs w:val="26"/>
        </w:rPr>
        <w:t>ами, в том числе международные;</w:t>
      </w:r>
    </w:p>
    <w:p w:rsidR="00D065DC" w:rsidRDefault="00D065DC" w:rsidP="00D065DC">
      <w:pPr>
        <w:pStyle w:val="ad"/>
        <w:widowControl w:val="0"/>
        <w:tabs>
          <w:tab w:val="left" w:pos="1134"/>
        </w:tabs>
        <w:spacing w:after="0" w:line="360" w:lineRule="exact"/>
        <w:ind w:left="0" w:firstLine="709"/>
        <w:jc w:val="both"/>
        <w:rPr>
          <w:rFonts w:ascii="Times New Roman" w:hAnsi="Times New Roman"/>
          <w:sz w:val="26"/>
          <w:szCs w:val="26"/>
        </w:rPr>
      </w:pPr>
      <w:proofErr w:type="gramStart"/>
      <w:r w:rsidRPr="00114F39">
        <w:rPr>
          <w:rFonts w:ascii="Times New Roman" w:hAnsi="Times New Roman"/>
          <w:sz w:val="26"/>
          <w:szCs w:val="26"/>
        </w:rPr>
        <w:t>3.3.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w:t>
      </w:r>
      <w:r>
        <w:rPr>
          <w:rFonts w:ascii="Times New Roman" w:hAnsi="Times New Roman"/>
          <w:sz w:val="26"/>
          <w:szCs w:val="26"/>
        </w:rPr>
        <w:t xml:space="preserve"> щепа,</w:t>
      </w:r>
      <w:r w:rsidRPr="00114F39">
        <w:rPr>
          <w:rFonts w:ascii="Times New Roman" w:hAnsi="Times New Roman"/>
          <w:sz w:val="26"/>
          <w:szCs w:val="26"/>
        </w:rPr>
        <w:t xml:space="preserve"> смазочных масел, специальных жидкостей, семенного фонда, удоб</w:t>
      </w:r>
      <w:r>
        <w:rPr>
          <w:rFonts w:ascii="Times New Roman" w:hAnsi="Times New Roman"/>
          <w:sz w:val="26"/>
          <w:szCs w:val="26"/>
        </w:rPr>
        <w:t>рений, почты и почтовых грузов;</w:t>
      </w:r>
      <w:proofErr w:type="gramEnd"/>
    </w:p>
    <w:p w:rsidR="00D065DC" w:rsidRDefault="00D065DC" w:rsidP="00D065DC">
      <w:pPr>
        <w:pStyle w:val="ad"/>
        <w:widowControl w:val="0"/>
        <w:tabs>
          <w:tab w:val="left" w:pos="1134"/>
        </w:tabs>
        <w:spacing w:after="0" w:line="360" w:lineRule="exact"/>
        <w:ind w:left="0" w:firstLine="709"/>
        <w:jc w:val="both"/>
        <w:rPr>
          <w:rFonts w:ascii="Times New Roman" w:hAnsi="Times New Roman"/>
          <w:sz w:val="26"/>
          <w:szCs w:val="26"/>
        </w:rPr>
      </w:pPr>
      <w:r w:rsidRPr="00114F39">
        <w:rPr>
          <w:rFonts w:ascii="Times New Roman" w:hAnsi="Times New Roman"/>
          <w:sz w:val="26"/>
          <w:szCs w:val="26"/>
        </w:rPr>
        <w:t>3.4. на перевозку грузов, необходимых для ликвидации последствий стихийных бедствий</w:t>
      </w:r>
      <w:r w:rsidRPr="00F53F15">
        <w:rPr>
          <w:rFonts w:ascii="Times New Roman" w:hAnsi="Times New Roman"/>
          <w:sz w:val="26"/>
          <w:szCs w:val="26"/>
        </w:rPr>
        <w:t xml:space="preserve"> или </w:t>
      </w:r>
      <w:r>
        <w:rPr>
          <w:rFonts w:ascii="Times New Roman" w:hAnsi="Times New Roman"/>
          <w:sz w:val="26"/>
          <w:szCs w:val="26"/>
        </w:rPr>
        <w:t>иных чрезвычайных происшествий;</w:t>
      </w:r>
    </w:p>
    <w:p w:rsidR="00D065DC" w:rsidRDefault="00D065DC" w:rsidP="00D065DC">
      <w:pPr>
        <w:pStyle w:val="ad"/>
        <w:widowControl w:val="0"/>
        <w:tabs>
          <w:tab w:val="left" w:pos="1134"/>
        </w:tabs>
        <w:spacing w:after="0" w:line="360" w:lineRule="exact"/>
        <w:ind w:left="0" w:firstLine="709"/>
        <w:jc w:val="both"/>
        <w:rPr>
          <w:rFonts w:ascii="Times New Roman" w:hAnsi="Times New Roman"/>
          <w:sz w:val="26"/>
          <w:szCs w:val="26"/>
        </w:rPr>
      </w:pPr>
      <w:r w:rsidRPr="00F53F15">
        <w:rPr>
          <w:rFonts w:ascii="Times New Roman" w:hAnsi="Times New Roman"/>
          <w:sz w:val="26"/>
          <w:szCs w:val="26"/>
        </w:rPr>
        <w:t>3.5. на транспортировку дорожно-строительной и дорожно-эксплуатационной техники и материалов, применяемых при проведении аварийн</w:t>
      </w:r>
      <w:r>
        <w:rPr>
          <w:rFonts w:ascii="Times New Roman" w:hAnsi="Times New Roman"/>
          <w:sz w:val="26"/>
          <w:szCs w:val="26"/>
        </w:rPr>
        <w:t>о-восстановительных и ремонтных работ;</w:t>
      </w:r>
    </w:p>
    <w:p w:rsidR="00D065DC" w:rsidRDefault="00D065DC" w:rsidP="00D065DC">
      <w:pPr>
        <w:pStyle w:val="ad"/>
        <w:widowControl w:val="0"/>
        <w:tabs>
          <w:tab w:val="left" w:pos="1134"/>
        </w:tabs>
        <w:spacing w:after="0" w:line="360" w:lineRule="exact"/>
        <w:ind w:left="0" w:firstLine="709"/>
        <w:jc w:val="both"/>
        <w:rPr>
          <w:rFonts w:ascii="Times New Roman" w:hAnsi="Times New Roman"/>
          <w:sz w:val="26"/>
          <w:szCs w:val="26"/>
        </w:rPr>
      </w:pPr>
      <w:r w:rsidRPr="00F53F15">
        <w:rPr>
          <w:rFonts w:ascii="Times New Roman" w:hAnsi="Times New Roman"/>
          <w:sz w:val="26"/>
          <w:szCs w:val="26"/>
        </w:rPr>
        <w:t>3.6. на транспортные средства федеральных органов исполнительной власти, в которых федеральным законо</w:t>
      </w:r>
      <w:r>
        <w:rPr>
          <w:rFonts w:ascii="Times New Roman" w:hAnsi="Times New Roman"/>
          <w:sz w:val="26"/>
          <w:szCs w:val="26"/>
        </w:rPr>
        <w:t>м предусмотрена военная служба;</w:t>
      </w:r>
    </w:p>
    <w:p w:rsidR="00D065DC" w:rsidRPr="00424BFF" w:rsidRDefault="00D065DC" w:rsidP="00D065DC">
      <w:pPr>
        <w:tabs>
          <w:tab w:val="left" w:pos="1134"/>
        </w:tabs>
        <w:spacing w:line="360" w:lineRule="exact"/>
        <w:jc w:val="both"/>
        <w:rPr>
          <w:sz w:val="26"/>
          <w:szCs w:val="26"/>
        </w:rPr>
      </w:pPr>
      <w:r w:rsidRPr="00F53F15">
        <w:rPr>
          <w:sz w:val="26"/>
          <w:szCs w:val="26"/>
        </w:rPr>
        <w:t>3.7. на транспортные средства, перевозящие твердые коммунальные отходы.</w:t>
      </w:r>
    </w:p>
    <w:p w:rsidR="00D065DC" w:rsidRPr="00424BFF" w:rsidRDefault="00D065DC" w:rsidP="00D065DC">
      <w:pPr>
        <w:numPr>
          <w:ilvl w:val="0"/>
          <w:numId w:val="18"/>
        </w:numPr>
        <w:tabs>
          <w:tab w:val="left" w:pos="1134"/>
        </w:tabs>
        <w:spacing w:line="360" w:lineRule="exact"/>
        <w:ind w:left="0" w:firstLine="709"/>
        <w:jc w:val="both"/>
        <w:rPr>
          <w:sz w:val="26"/>
          <w:szCs w:val="26"/>
        </w:rPr>
      </w:pPr>
      <w:r w:rsidRPr="00424BFF">
        <w:rPr>
          <w:sz w:val="26"/>
          <w:szCs w:val="26"/>
        </w:rPr>
        <w:t xml:space="preserve">Управлению по работе с территориями и благоустройству администрации городского округа город Шахунья Нижегородской области, </w:t>
      </w:r>
      <w:proofErr w:type="spellStart"/>
      <w:r w:rsidRPr="00424BFF">
        <w:rPr>
          <w:sz w:val="26"/>
          <w:szCs w:val="26"/>
        </w:rPr>
        <w:t>Вахтанскому</w:t>
      </w:r>
      <w:proofErr w:type="spellEnd"/>
      <w:r w:rsidRPr="00424BFF">
        <w:rPr>
          <w:sz w:val="26"/>
          <w:szCs w:val="26"/>
        </w:rPr>
        <w:t xml:space="preserve"> и </w:t>
      </w:r>
      <w:proofErr w:type="spellStart"/>
      <w:r w:rsidRPr="00424BFF">
        <w:rPr>
          <w:sz w:val="26"/>
          <w:szCs w:val="26"/>
        </w:rPr>
        <w:t>Сявскому</w:t>
      </w:r>
      <w:proofErr w:type="spellEnd"/>
      <w:r w:rsidRPr="00424BFF">
        <w:rPr>
          <w:sz w:val="26"/>
          <w:szCs w:val="26"/>
        </w:rPr>
        <w:t xml:space="preserve"> территориальным отделам администрации городского округа город Шахунья Нижегородской области:</w:t>
      </w:r>
    </w:p>
    <w:p w:rsidR="00D065DC" w:rsidRPr="00424BFF" w:rsidRDefault="00D065DC" w:rsidP="00D065DC">
      <w:pPr>
        <w:numPr>
          <w:ilvl w:val="1"/>
          <w:numId w:val="18"/>
        </w:numPr>
        <w:tabs>
          <w:tab w:val="left" w:pos="1134"/>
        </w:tabs>
        <w:spacing w:line="360" w:lineRule="exact"/>
        <w:ind w:left="0" w:firstLine="709"/>
        <w:jc w:val="both"/>
        <w:rPr>
          <w:sz w:val="26"/>
          <w:szCs w:val="26"/>
        </w:rPr>
      </w:pPr>
      <w:r w:rsidRPr="00424BFF">
        <w:rPr>
          <w:sz w:val="26"/>
          <w:szCs w:val="26"/>
        </w:rPr>
        <w:t>осуществить установку дорожных знаков 3.4 «Движение грузовых автомобилей запрещено», предусмотренных Правилами дорожного движения;</w:t>
      </w:r>
    </w:p>
    <w:p w:rsidR="00D065DC" w:rsidRPr="00424BFF" w:rsidRDefault="00D065DC" w:rsidP="00D065DC">
      <w:pPr>
        <w:numPr>
          <w:ilvl w:val="1"/>
          <w:numId w:val="18"/>
        </w:numPr>
        <w:tabs>
          <w:tab w:val="left" w:pos="1134"/>
        </w:tabs>
        <w:spacing w:line="360" w:lineRule="exact"/>
        <w:ind w:left="0" w:firstLine="709"/>
        <w:jc w:val="both"/>
        <w:rPr>
          <w:sz w:val="26"/>
          <w:szCs w:val="26"/>
        </w:rPr>
      </w:pPr>
      <w:r>
        <w:rPr>
          <w:sz w:val="26"/>
          <w:szCs w:val="26"/>
        </w:rPr>
        <w:t xml:space="preserve">осуществлять выдачу пропусков на движение транспортных средств по автомобильным дорогам местного значения на территории городского округа город Шахунья Нижегородской области. </w:t>
      </w:r>
      <w:proofErr w:type="gramStart"/>
      <w:r>
        <w:rPr>
          <w:sz w:val="26"/>
          <w:szCs w:val="26"/>
        </w:rPr>
        <w:t>Выдача пропусков производится в Управлении по работе с территориями и благоустройству администрации городского округа город Шахунья Нижегородской области по адресу: г. Шахунья, пл. Советская, д. 1, кабинет 52 с 08-00 до 17-00 с понедельника по четверг, в пятницу с 08-00 до 16-00, обед с 12:00 до 12:48, выходные дни – суббота и воскресенье.</w:t>
      </w:r>
      <w:proofErr w:type="gramEnd"/>
      <w:r>
        <w:rPr>
          <w:sz w:val="26"/>
          <w:szCs w:val="26"/>
        </w:rPr>
        <w:t xml:space="preserve"> В </w:t>
      </w:r>
      <w:proofErr w:type="spellStart"/>
      <w:r>
        <w:rPr>
          <w:sz w:val="26"/>
          <w:szCs w:val="26"/>
        </w:rPr>
        <w:t>Вахтанском</w:t>
      </w:r>
      <w:proofErr w:type="spellEnd"/>
      <w:r>
        <w:rPr>
          <w:sz w:val="26"/>
          <w:szCs w:val="26"/>
        </w:rPr>
        <w:t xml:space="preserve"> и </w:t>
      </w:r>
      <w:proofErr w:type="spellStart"/>
      <w:r>
        <w:rPr>
          <w:sz w:val="26"/>
          <w:szCs w:val="26"/>
        </w:rPr>
        <w:t>Сявском</w:t>
      </w:r>
      <w:proofErr w:type="spellEnd"/>
      <w:r>
        <w:rPr>
          <w:sz w:val="26"/>
          <w:szCs w:val="26"/>
        </w:rPr>
        <w:t xml:space="preserve"> территориальных отделах администрации городского округа город Шахунья Нижегородской области в административных зданиях территориальных отделов с 08-00 до 17-00 с понедельника по четверг, в пятницу с 08-00 до 16-00, обед с 12:00 </w:t>
      </w:r>
      <w:proofErr w:type="gramStart"/>
      <w:r>
        <w:rPr>
          <w:sz w:val="26"/>
          <w:szCs w:val="26"/>
        </w:rPr>
        <w:t>до</w:t>
      </w:r>
      <w:proofErr w:type="gramEnd"/>
      <w:r>
        <w:rPr>
          <w:sz w:val="26"/>
          <w:szCs w:val="26"/>
        </w:rPr>
        <w:t xml:space="preserve"> 12:48, выходные дни – суббота и воскресенье.</w:t>
      </w:r>
    </w:p>
    <w:p w:rsidR="00D065DC" w:rsidRPr="00424BFF" w:rsidRDefault="00D065DC" w:rsidP="00D065DC">
      <w:pPr>
        <w:pStyle w:val="ConsPlusNormal"/>
        <w:widowControl/>
        <w:numPr>
          <w:ilvl w:val="0"/>
          <w:numId w:val="18"/>
        </w:numPr>
        <w:tabs>
          <w:tab w:val="left" w:pos="1134"/>
        </w:tabs>
        <w:spacing w:line="360" w:lineRule="exact"/>
        <w:ind w:left="0" w:firstLine="709"/>
        <w:jc w:val="both"/>
        <w:rPr>
          <w:rFonts w:ascii="Times New Roman" w:hAnsi="Times New Roman" w:cs="Times New Roman"/>
          <w:sz w:val="26"/>
          <w:szCs w:val="26"/>
        </w:rPr>
      </w:pPr>
      <w:r w:rsidRPr="00424BFF">
        <w:rPr>
          <w:rFonts w:ascii="Times New Roman" w:hAnsi="Times New Roman" w:cs="Times New Roman"/>
          <w:sz w:val="26"/>
          <w:szCs w:val="26"/>
        </w:rPr>
        <w:t xml:space="preserve">Утвердить стоимость </w:t>
      </w:r>
      <w:r>
        <w:rPr>
          <w:rFonts w:ascii="Times New Roman" w:hAnsi="Times New Roman" w:cs="Times New Roman"/>
          <w:sz w:val="26"/>
          <w:szCs w:val="26"/>
        </w:rPr>
        <w:t xml:space="preserve">выдаваемого </w:t>
      </w:r>
      <w:r w:rsidRPr="00424BFF">
        <w:rPr>
          <w:rFonts w:ascii="Times New Roman" w:hAnsi="Times New Roman" w:cs="Times New Roman"/>
          <w:sz w:val="26"/>
          <w:szCs w:val="26"/>
        </w:rPr>
        <w:t>пропуска: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D065DC" w:rsidRPr="00424BFF" w:rsidTr="002C499A">
        <w:trPr>
          <w:jc w:val="center"/>
        </w:trPr>
        <w:tc>
          <w:tcPr>
            <w:tcW w:w="3189" w:type="dxa"/>
          </w:tcPr>
          <w:p w:rsidR="00D065DC" w:rsidRPr="00424BFF" w:rsidRDefault="00D065DC" w:rsidP="002C499A">
            <w:pPr>
              <w:pStyle w:val="ConsPlusNormal"/>
              <w:widowControl/>
              <w:ind w:firstLine="0"/>
              <w:jc w:val="center"/>
              <w:rPr>
                <w:rFonts w:ascii="Times New Roman" w:hAnsi="Times New Roman" w:cs="Times New Roman"/>
                <w:sz w:val="26"/>
                <w:szCs w:val="26"/>
              </w:rPr>
            </w:pPr>
            <w:r w:rsidRPr="00424BFF">
              <w:rPr>
                <w:rFonts w:ascii="Times New Roman" w:hAnsi="Times New Roman" w:cs="Times New Roman"/>
                <w:sz w:val="26"/>
                <w:szCs w:val="26"/>
              </w:rPr>
              <w:lastRenderedPageBreak/>
              <w:t>Грузовые автомобили с разрешенной максимальной массой</w:t>
            </w:r>
          </w:p>
        </w:tc>
        <w:tc>
          <w:tcPr>
            <w:tcW w:w="3190" w:type="dxa"/>
          </w:tcPr>
          <w:p w:rsidR="00D065DC" w:rsidRPr="00424BFF" w:rsidRDefault="00D065DC" w:rsidP="002C499A">
            <w:pPr>
              <w:pStyle w:val="ConsPlusNormal"/>
              <w:widowControl/>
              <w:ind w:left="-8" w:firstLine="0"/>
              <w:jc w:val="center"/>
              <w:rPr>
                <w:rFonts w:ascii="Times New Roman" w:hAnsi="Times New Roman" w:cs="Times New Roman"/>
                <w:sz w:val="26"/>
                <w:szCs w:val="26"/>
              </w:rPr>
            </w:pPr>
            <w:r w:rsidRPr="00424BFF">
              <w:rPr>
                <w:rFonts w:ascii="Times New Roman" w:hAnsi="Times New Roman" w:cs="Times New Roman"/>
                <w:sz w:val="26"/>
                <w:szCs w:val="26"/>
              </w:rPr>
              <w:t>На одни сутки (рублей)</w:t>
            </w:r>
          </w:p>
        </w:tc>
        <w:tc>
          <w:tcPr>
            <w:tcW w:w="3191" w:type="dxa"/>
          </w:tcPr>
          <w:p w:rsidR="00D065DC" w:rsidRPr="00424BFF" w:rsidRDefault="00D065DC" w:rsidP="002C499A">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На период с </w:t>
            </w:r>
            <w:r>
              <w:rPr>
                <w:rFonts w:ascii="Times New Roman" w:hAnsi="Times New Roman" w:cs="Times New Roman"/>
                <w:sz w:val="26"/>
                <w:szCs w:val="26"/>
              </w:rPr>
              <w:t>16.04.2021</w:t>
            </w:r>
            <w:r>
              <w:rPr>
                <w:rFonts w:ascii="Times New Roman" w:hAnsi="Times New Roman" w:cs="Times New Roman"/>
                <w:sz w:val="26"/>
                <w:szCs w:val="26"/>
              </w:rPr>
              <w:t xml:space="preserve"> </w:t>
            </w:r>
            <w:r>
              <w:rPr>
                <w:rFonts w:ascii="Times New Roman" w:hAnsi="Times New Roman" w:cs="Times New Roman"/>
                <w:sz w:val="26"/>
                <w:szCs w:val="26"/>
              </w:rPr>
              <w:t>г</w:t>
            </w:r>
            <w:r>
              <w:rPr>
                <w:rFonts w:ascii="Times New Roman" w:hAnsi="Times New Roman" w:cs="Times New Roman"/>
                <w:sz w:val="26"/>
                <w:szCs w:val="26"/>
              </w:rPr>
              <w:t>.</w:t>
            </w:r>
            <w:r>
              <w:rPr>
                <w:rFonts w:ascii="Times New Roman" w:hAnsi="Times New Roman" w:cs="Times New Roman"/>
                <w:sz w:val="26"/>
                <w:szCs w:val="26"/>
              </w:rPr>
              <w:t xml:space="preserve"> по 16</w:t>
            </w:r>
            <w:r w:rsidRPr="00424BFF">
              <w:rPr>
                <w:rFonts w:ascii="Times New Roman" w:hAnsi="Times New Roman" w:cs="Times New Roman"/>
                <w:sz w:val="26"/>
                <w:szCs w:val="26"/>
              </w:rPr>
              <w:t>.05.20</w:t>
            </w:r>
            <w:r>
              <w:rPr>
                <w:rFonts w:ascii="Times New Roman" w:hAnsi="Times New Roman" w:cs="Times New Roman"/>
                <w:sz w:val="26"/>
                <w:szCs w:val="26"/>
              </w:rPr>
              <w:t>21</w:t>
            </w:r>
            <w:r>
              <w:rPr>
                <w:rFonts w:ascii="Times New Roman" w:hAnsi="Times New Roman" w:cs="Times New Roman"/>
                <w:sz w:val="26"/>
                <w:szCs w:val="26"/>
              </w:rPr>
              <w:t xml:space="preserve"> </w:t>
            </w:r>
            <w:r w:rsidRPr="00424BFF">
              <w:rPr>
                <w:rFonts w:ascii="Times New Roman" w:hAnsi="Times New Roman" w:cs="Times New Roman"/>
                <w:sz w:val="26"/>
                <w:szCs w:val="26"/>
              </w:rPr>
              <w:t>г</w:t>
            </w:r>
            <w:r>
              <w:rPr>
                <w:rFonts w:ascii="Times New Roman" w:hAnsi="Times New Roman" w:cs="Times New Roman"/>
                <w:sz w:val="26"/>
                <w:szCs w:val="26"/>
              </w:rPr>
              <w:t>.</w:t>
            </w:r>
            <w:r w:rsidRPr="00424BFF">
              <w:rPr>
                <w:rFonts w:ascii="Times New Roman" w:hAnsi="Times New Roman" w:cs="Times New Roman"/>
                <w:sz w:val="26"/>
                <w:szCs w:val="26"/>
              </w:rPr>
              <w:t xml:space="preserve"> </w:t>
            </w:r>
          </w:p>
        </w:tc>
      </w:tr>
      <w:tr w:rsidR="00D065DC" w:rsidRPr="00424BFF" w:rsidTr="002C499A">
        <w:trPr>
          <w:jc w:val="center"/>
        </w:trPr>
        <w:tc>
          <w:tcPr>
            <w:tcW w:w="3189" w:type="dxa"/>
            <w:vAlign w:val="center"/>
          </w:tcPr>
          <w:p w:rsidR="00D065DC" w:rsidRPr="00424BFF" w:rsidRDefault="00D065DC" w:rsidP="002C499A">
            <w:pPr>
              <w:pStyle w:val="ConsPlusNormal"/>
              <w:widowControl/>
              <w:ind w:firstLine="0"/>
              <w:jc w:val="center"/>
              <w:rPr>
                <w:rFonts w:ascii="Times New Roman" w:hAnsi="Times New Roman" w:cs="Times New Roman"/>
                <w:sz w:val="26"/>
                <w:szCs w:val="26"/>
              </w:rPr>
            </w:pPr>
            <w:r>
              <w:rPr>
                <w:rFonts w:ascii="Times New Roman" w:hAnsi="Times New Roman" w:cs="Times New Roman"/>
                <w:sz w:val="24"/>
                <w:szCs w:val="24"/>
              </w:rPr>
              <w:t xml:space="preserve">5 тонн </w:t>
            </w:r>
          </w:p>
        </w:tc>
        <w:tc>
          <w:tcPr>
            <w:tcW w:w="3190" w:type="dxa"/>
            <w:vAlign w:val="center"/>
          </w:tcPr>
          <w:p w:rsidR="00D065DC" w:rsidRPr="00424BFF" w:rsidRDefault="00D065DC" w:rsidP="002C499A">
            <w:pPr>
              <w:pStyle w:val="ConsPlusNormal"/>
              <w:widowControl/>
              <w:ind w:left="-8" w:firstLine="0"/>
              <w:jc w:val="center"/>
              <w:rPr>
                <w:rFonts w:ascii="Times New Roman" w:hAnsi="Times New Roman" w:cs="Times New Roman"/>
                <w:sz w:val="26"/>
                <w:szCs w:val="26"/>
              </w:rPr>
            </w:pPr>
            <w:r>
              <w:rPr>
                <w:rFonts w:ascii="Times New Roman" w:hAnsi="Times New Roman" w:cs="Times New Roman"/>
                <w:sz w:val="24"/>
                <w:szCs w:val="24"/>
              </w:rPr>
              <w:t>740</w:t>
            </w:r>
          </w:p>
        </w:tc>
        <w:tc>
          <w:tcPr>
            <w:tcW w:w="3191" w:type="dxa"/>
            <w:vAlign w:val="center"/>
          </w:tcPr>
          <w:p w:rsidR="00D065DC" w:rsidRPr="00424BFF" w:rsidRDefault="00D065DC" w:rsidP="002C499A">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8 584</w:t>
            </w:r>
          </w:p>
        </w:tc>
      </w:tr>
      <w:tr w:rsidR="00D065DC" w:rsidRPr="00424BFF" w:rsidTr="002C499A">
        <w:trPr>
          <w:jc w:val="center"/>
        </w:trPr>
        <w:tc>
          <w:tcPr>
            <w:tcW w:w="3189" w:type="dxa"/>
            <w:vAlign w:val="center"/>
          </w:tcPr>
          <w:p w:rsidR="00D065DC" w:rsidRPr="00424BFF" w:rsidRDefault="00D065DC" w:rsidP="002C499A">
            <w:pPr>
              <w:pStyle w:val="ConsPlusNormal"/>
              <w:widowControl/>
              <w:ind w:firstLine="0"/>
              <w:jc w:val="center"/>
              <w:rPr>
                <w:rFonts w:ascii="Times New Roman" w:hAnsi="Times New Roman" w:cs="Times New Roman"/>
                <w:sz w:val="26"/>
                <w:szCs w:val="26"/>
              </w:rPr>
            </w:pPr>
            <w:r>
              <w:rPr>
                <w:rFonts w:ascii="Times New Roman" w:hAnsi="Times New Roman" w:cs="Times New Roman"/>
                <w:sz w:val="24"/>
                <w:szCs w:val="24"/>
              </w:rPr>
              <w:t>до 10 тонн</w:t>
            </w:r>
          </w:p>
        </w:tc>
        <w:tc>
          <w:tcPr>
            <w:tcW w:w="3190" w:type="dxa"/>
            <w:vAlign w:val="center"/>
          </w:tcPr>
          <w:p w:rsidR="00D065DC" w:rsidRPr="00424BFF" w:rsidRDefault="00D065DC" w:rsidP="002C499A">
            <w:pPr>
              <w:pStyle w:val="ConsPlusNormal"/>
              <w:widowControl/>
              <w:ind w:left="-8" w:firstLine="0"/>
              <w:jc w:val="center"/>
              <w:rPr>
                <w:rFonts w:ascii="Times New Roman" w:hAnsi="Times New Roman" w:cs="Times New Roman"/>
                <w:sz w:val="26"/>
                <w:szCs w:val="26"/>
              </w:rPr>
            </w:pPr>
            <w:r>
              <w:rPr>
                <w:rFonts w:ascii="Times New Roman" w:hAnsi="Times New Roman" w:cs="Times New Roman"/>
                <w:sz w:val="26"/>
                <w:szCs w:val="26"/>
              </w:rPr>
              <w:t>1 355</w:t>
            </w:r>
          </w:p>
        </w:tc>
        <w:tc>
          <w:tcPr>
            <w:tcW w:w="3191" w:type="dxa"/>
            <w:vAlign w:val="center"/>
          </w:tcPr>
          <w:p w:rsidR="00D065DC" w:rsidRPr="00424BFF" w:rsidRDefault="00D065DC" w:rsidP="002C499A">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15 990</w:t>
            </w:r>
          </w:p>
        </w:tc>
      </w:tr>
      <w:tr w:rsidR="00D065DC" w:rsidRPr="00424BFF" w:rsidTr="002C499A">
        <w:trPr>
          <w:jc w:val="center"/>
        </w:trPr>
        <w:tc>
          <w:tcPr>
            <w:tcW w:w="3189" w:type="dxa"/>
            <w:vAlign w:val="center"/>
          </w:tcPr>
          <w:p w:rsidR="00D065DC" w:rsidRPr="00424BFF" w:rsidRDefault="00D065DC" w:rsidP="002C499A">
            <w:pPr>
              <w:pStyle w:val="ConsPlusNormal"/>
              <w:widowControl/>
              <w:ind w:firstLine="0"/>
              <w:jc w:val="center"/>
              <w:rPr>
                <w:rFonts w:ascii="Times New Roman" w:hAnsi="Times New Roman" w:cs="Times New Roman"/>
                <w:sz w:val="26"/>
                <w:szCs w:val="26"/>
              </w:rPr>
            </w:pPr>
            <w:r>
              <w:rPr>
                <w:rFonts w:ascii="Times New Roman" w:hAnsi="Times New Roman" w:cs="Times New Roman"/>
                <w:sz w:val="24"/>
                <w:szCs w:val="24"/>
              </w:rPr>
              <w:t>до 20 тонн</w:t>
            </w:r>
          </w:p>
        </w:tc>
        <w:tc>
          <w:tcPr>
            <w:tcW w:w="3190" w:type="dxa"/>
            <w:vAlign w:val="center"/>
          </w:tcPr>
          <w:p w:rsidR="00D065DC" w:rsidRPr="00424BFF" w:rsidRDefault="00D065DC" w:rsidP="002C499A">
            <w:pPr>
              <w:pStyle w:val="ConsPlusNormal"/>
              <w:widowControl/>
              <w:ind w:left="-8" w:firstLine="0"/>
              <w:jc w:val="center"/>
              <w:rPr>
                <w:rFonts w:ascii="Times New Roman" w:hAnsi="Times New Roman" w:cs="Times New Roman"/>
                <w:sz w:val="26"/>
                <w:szCs w:val="26"/>
              </w:rPr>
            </w:pPr>
            <w:r>
              <w:rPr>
                <w:rFonts w:ascii="Times New Roman" w:hAnsi="Times New Roman" w:cs="Times New Roman"/>
                <w:sz w:val="26"/>
                <w:szCs w:val="26"/>
              </w:rPr>
              <w:t>1 603</w:t>
            </w:r>
          </w:p>
        </w:tc>
        <w:tc>
          <w:tcPr>
            <w:tcW w:w="3191" w:type="dxa"/>
            <w:vAlign w:val="center"/>
          </w:tcPr>
          <w:p w:rsidR="00D065DC" w:rsidRPr="00424BFF" w:rsidRDefault="00D065DC" w:rsidP="002C499A">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17 954</w:t>
            </w:r>
          </w:p>
        </w:tc>
      </w:tr>
      <w:tr w:rsidR="00D065DC" w:rsidRPr="00424BFF" w:rsidTr="002C499A">
        <w:trPr>
          <w:jc w:val="center"/>
        </w:trPr>
        <w:tc>
          <w:tcPr>
            <w:tcW w:w="9570" w:type="dxa"/>
            <w:gridSpan w:val="3"/>
          </w:tcPr>
          <w:p w:rsidR="00D065DC" w:rsidRPr="00424BFF" w:rsidRDefault="00D065DC" w:rsidP="002C499A">
            <w:pPr>
              <w:pStyle w:val="ConsPlusNormal"/>
              <w:widowControl/>
              <w:ind w:firstLine="0"/>
              <w:rPr>
                <w:rFonts w:ascii="Times New Roman" w:hAnsi="Times New Roman" w:cs="Times New Roman"/>
                <w:sz w:val="26"/>
                <w:szCs w:val="26"/>
              </w:rPr>
            </w:pPr>
            <w:r w:rsidRPr="00424BFF">
              <w:rPr>
                <w:rFonts w:ascii="Times New Roman" w:hAnsi="Times New Roman" w:cs="Times New Roman"/>
                <w:sz w:val="26"/>
                <w:szCs w:val="26"/>
              </w:rPr>
              <w:t xml:space="preserve">             Тракторы</w:t>
            </w:r>
          </w:p>
        </w:tc>
      </w:tr>
      <w:tr w:rsidR="00D065DC" w:rsidRPr="00424BFF" w:rsidTr="002C499A">
        <w:trPr>
          <w:jc w:val="center"/>
        </w:trPr>
        <w:tc>
          <w:tcPr>
            <w:tcW w:w="3189" w:type="dxa"/>
          </w:tcPr>
          <w:p w:rsidR="00D065DC" w:rsidRPr="00424BFF" w:rsidRDefault="00D065DC" w:rsidP="002C499A">
            <w:pPr>
              <w:pStyle w:val="ConsPlusNormal"/>
              <w:widowControl/>
              <w:ind w:firstLine="0"/>
              <w:jc w:val="center"/>
              <w:rPr>
                <w:rFonts w:ascii="Times New Roman" w:hAnsi="Times New Roman" w:cs="Times New Roman"/>
                <w:sz w:val="26"/>
                <w:szCs w:val="26"/>
              </w:rPr>
            </w:pPr>
            <w:r w:rsidRPr="00424BFF">
              <w:rPr>
                <w:rFonts w:ascii="Times New Roman" w:hAnsi="Times New Roman" w:cs="Times New Roman"/>
                <w:sz w:val="26"/>
                <w:szCs w:val="26"/>
              </w:rPr>
              <w:t>Т-16, Т-25, Т-40</w:t>
            </w:r>
          </w:p>
        </w:tc>
        <w:tc>
          <w:tcPr>
            <w:tcW w:w="3190" w:type="dxa"/>
          </w:tcPr>
          <w:p w:rsidR="00D065DC" w:rsidRPr="00424BFF" w:rsidRDefault="00D065DC" w:rsidP="002C499A">
            <w:pPr>
              <w:pStyle w:val="ConsPlusNormal"/>
              <w:widowControl/>
              <w:ind w:left="-137" w:right="-138" w:firstLine="0"/>
              <w:jc w:val="center"/>
              <w:rPr>
                <w:rFonts w:ascii="Times New Roman" w:hAnsi="Times New Roman" w:cs="Times New Roman"/>
                <w:sz w:val="26"/>
                <w:szCs w:val="26"/>
              </w:rPr>
            </w:pPr>
            <w:r>
              <w:rPr>
                <w:rFonts w:ascii="Times New Roman" w:hAnsi="Times New Roman" w:cs="Times New Roman"/>
                <w:sz w:val="26"/>
                <w:szCs w:val="26"/>
              </w:rPr>
              <w:t>491</w:t>
            </w:r>
          </w:p>
        </w:tc>
        <w:tc>
          <w:tcPr>
            <w:tcW w:w="3191" w:type="dxa"/>
          </w:tcPr>
          <w:p w:rsidR="00D065DC" w:rsidRPr="00424BFF" w:rsidRDefault="00D065DC" w:rsidP="002C499A">
            <w:pPr>
              <w:pStyle w:val="ConsPlusNormal"/>
              <w:widowControl/>
              <w:ind w:left="-79" w:firstLine="0"/>
              <w:jc w:val="center"/>
              <w:rPr>
                <w:rFonts w:ascii="Times New Roman" w:hAnsi="Times New Roman" w:cs="Times New Roman"/>
                <w:sz w:val="26"/>
                <w:szCs w:val="26"/>
              </w:rPr>
            </w:pPr>
            <w:r>
              <w:rPr>
                <w:rFonts w:ascii="Times New Roman" w:hAnsi="Times New Roman" w:cs="Times New Roman"/>
                <w:sz w:val="26"/>
                <w:szCs w:val="26"/>
              </w:rPr>
              <w:t>4 517</w:t>
            </w:r>
          </w:p>
        </w:tc>
      </w:tr>
      <w:tr w:rsidR="00D065DC" w:rsidRPr="00424BFF" w:rsidTr="002C499A">
        <w:trPr>
          <w:jc w:val="center"/>
        </w:trPr>
        <w:tc>
          <w:tcPr>
            <w:tcW w:w="3189" w:type="dxa"/>
          </w:tcPr>
          <w:p w:rsidR="00D065DC" w:rsidRPr="00424BFF" w:rsidRDefault="00D065DC" w:rsidP="002C499A">
            <w:pPr>
              <w:pStyle w:val="ConsPlusNormal"/>
              <w:widowControl/>
              <w:ind w:firstLine="0"/>
              <w:jc w:val="center"/>
              <w:rPr>
                <w:rFonts w:ascii="Times New Roman" w:hAnsi="Times New Roman" w:cs="Times New Roman"/>
                <w:sz w:val="26"/>
                <w:szCs w:val="26"/>
              </w:rPr>
            </w:pPr>
            <w:r w:rsidRPr="00424BFF">
              <w:rPr>
                <w:rFonts w:ascii="Times New Roman" w:hAnsi="Times New Roman" w:cs="Times New Roman"/>
                <w:sz w:val="26"/>
                <w:szCs w:val="26"/>
              </w:rPr>
              <w:t>МТЗ-80, МТЗ-82, ЮМЗ</w:t>
            </w:r>
          </w:p>
        </w:tc>
        <w:tc>
          <w:tcPr>
            <w:tcW w:w="3190" w:type="dxa"/>
          </w:tcPr>
          <w:p w:rsidR="00D065DC" w:rsidRPr="00424BFF" w:rsidRDefault="00D065DC" w:rsidP="002C499A">
            <w:pPr>
              <w:pStyle w:val="ConsPlusNormal"/>
              <w:widowControl/>
              <w:ind w:left="-137" w:right="-138" w:firstLine="0"/>
              <w:jc w:val="center"/>
              <w:rPr>
                <w:rFonts w:ascii="Times New Roman" w:hAnsi="Times New Roman" w:cs="Times New Roman"/>
                <w:sz w:val="26"/>
                <w:szCs w:val="26"/>
              </w:rPr>
            </w:pPr>
            <w:r>
              <w:rPr>
                <w:rFonts w:ascii="Times New Roman" w:hAnsi="Times New Roman" w:cs="Times New Roman"/>
                <w:sz w:val="26"/>
                <w:szCs w:val="26"/>
              </w:rPr>
              <w:t>740</w:t>
            </w:r>
          </w:p>
        </w:tc>
        <w:tc>
          <w:tcPr>
            <w:tcW w:w="3191" w:type="dxa"/>
          </w:tcPr>
          <w:p w:rsidR="00D065DC" w:rsidRPr="00424BFF" w:rsidRDefault="00D065DC" w:rsidP="002C499A">
            <w:pPr>
              <w:pStyle w:val="ConsPlusNormal"/>
              <w:widowControl/>
              <w:ind w:left="-79" w:firstLine="0"/>
              <w:jc w:val="center"/>
              <w:rPr>
                <w:rFonts w:ascii="Times New Roman" w:hAnsi="Times New Roman" w:cs="Times New Roman"/>
                <w:sz w:val="26"/>
                <w:szCs w:val="26"/>
              </w:rPr>
            </w:pPr>
            <w:r>
              <w:rPr>
                <w:rFonts w:ascii="Times New Roman" w:hAnsi="Times New Roman" w:cs="Times New Roman"/>
                <w:sz w:val="26"/>
                <w:szCs w:val="26"/>
              </w:rPr>
              <w:t>7 622</w:t>
            </w:r>
          </w:p>
        </w:tc>
      </w:tr>
      <w:tr w:rsidR="00D065DC" w:rsidRPr="00424BFF" w:rsidTr="002C499A">
        <w:trPr>
          <w:jc w:val="center"/>
        </w:trPr>
        <w:tc>
          <w:tcPr>
            <w:tcW w:w="3189" w:type="dxa"/>
          </w:tcPr>
          <w:p w:rsidR="00D065DC" w:rsidRPr="00424BFF" w:rsidRDefault="00D065DC" w:rsidP="002C499A">
            <w:pPr>
              <w:pStyle w:val="ConsPlusNormal"/>
              <w:widowControl/>
              <w:ind w:firstLine="0"/>
              <w:jc w:val="center"/>
              <w:rPr>
                <w:rFonts w:ascii="Times New Roman" w:hAnsi="Times New Roman" w:cs="Times New Roman"/>
                <w:sz w:val="26"/>
                <w:szCs w:val="26"/>
              </w:rPr>
            </w:pPr>
            <w:r w:rsidRPr="00424BFF">
              <w:rPr>
                <w:rFonts w:ascii="Times New Roman" w:hAnsi="Times New Roman" w:cs="Times New Roman"/>
                <w:sz w:val="26"/>
                <w:szCs w:val="26"/>
              </w:rPr>
              <w:t>Т-150</w:t>
            </w:r>
          </w:p>
        </w:tc>
        <w:tc>
          <w:tcPr>
            <w:tcW w:w="3190" w:type="dxa"/>
          </w:tcPr>
          <w:p w:rsidR="00D065DC" w:rsidRPr="00424BFF" w:rsidRDefault="00D065DC" w:rsidP="002C499A">
            <w:pPr>
              <w:pStyle w:val="ConsPlusNormal"/>
              <w:widowControl/>
              <w:ind w:left="-137" w:right="-138" w:firstLine="0"/>
              <w:jc w:val="center"/>
              <w:rPr>
                <w:rFonts w:ascii="Times New Roman" w:hAnsi="Times New Roman" w:cs="Times New Roman"/>
                <w:sz w:val="26"/>
                <w:szCs w:val="26"/>
              </w:rPr>
            </w:pPr>
            <w:r>
              <w:rPr>
                <w:rFonts w:ascii="Times New Roman" w:hAnsi="Times New Roman" w:cs="Times New Roman"/>
                <w:sz w:val="26"/>
                <w:szCs w:val="26"/>
              </w:rPr>
              <w:t>1 107</w:t>
            </w:r>
          </w:p>
        </w:tc>
        <w:tc>
          <w:tcPr>
            <w:tcW w:w="3191" w:type="dxa"/>
          </w:tcPr>
          <w:p w:rsidR="00D065DC" w:rsidRPr="00424BFF" w:rsidRDefault="00D065DC" w:rsidP="002C499A">
            <w:pPr>
              <w:pStyle w:val="ConsPlusNormal"/>
              <w:widowControl/>
              <w:ind w:left="-79" w:firstLine="0"/>
              <w:jc w:val="center"/>
              <w:rPr>
                <w:rFonts w:ascii="Times New Roman" w:hAnsi="Times New Roman" w:cs="Times New Roman"/>
                <w:sz w:val="26"/>
                <w:szCs w:val="26"/>
              </w:rPr>
            </w:pPr>
            <w:r>
              <w:rPr>
                <w:rFonts w:ascii="Times New Roman" w:hAnsi="Times New Roman" w:cs="Times New Roman"/>
                <w:sz w:val="26"/>
                <w:szCs w:val="26"/>
              </w:rPr>
              <w:t>11 956</w:t>
            </w:r>
          </w:p>
        </w:tc>
      </w:tr>
      <w:tr w:rsidR="00D065DC" w:rsidRPr="00424BFF" w:rsidTr="002C499A">
        <w:trPr>
          <w:jc w:val="center"/>
        </w:trPr>
        <w:tc>
          <w:tcPr>
            <w:tcW w:w="3189" w:type="dxa"/>
          </w:tcPr>
          <w:p w:rsidR="00D065DC" w:rsidRPr="00424BFF" w:rsidRDefault="00D065DC" w:rsidP="002C499A">
            <w:pPr>
              <w:pStyle w:val="ConsPlusNormal"/>
              <w:widowControl/>
              <w:ind w:firstLine="0"/>
              <w:jc w:val="center"/>
              <w:rPr>
                <w:rFonts w:ascii="Times New Roman" w:hAnsi="Times New Roman" w:cs="Times New Roman"/>
                <w:sz w:val="26"/>
                <w:szCs w:val="26"/>
              </w:rPr>
            </w:pPr>
            <w:r w:rsidRPr="00424BFF">
              <w:rPr>
                <w:rFonts w:ascii="Times New Roman" w:hAnsi="Times New Roman" w:cs="Times New Roman"/>
                <w:sz w:val="26"/>
                <w:szCs w:val="26"/>
              </w:rPr>
              <w:t>К-700</w:t>
            </w:r>
          </w:p>
        </w:tc>
        <w:tc>
          <w:tcPr>
            <w:tcW w:w="3190" w:type="dxa"/>
          </w:tcPr>
          <w:p w:rsidR="00D065DC" w:rsidRPr="00424BFF" w:rsidRDefault="00D065DC" w:rsidP="002C499A">
            <w:pPr>
              <w:pStyle w:val="ConsPlusNormal"/>
              <w:widowControl/>
              <w:ind w:left="-137" w:right="-138" w:firstLine="0"/>
              <w:jc w:val="center"/>
              <w:rPr>
                <w:rFonts w:ascii="Times New Roman" w:hAnsi="Times New Roman" w:cs="Times New Roman"/>
                <w:sz w:val="26"/>
                <w:szCs w:val="26"/>
              </w:rPr>
            </w:pPr>
            <w:r>
              <w:rPr>
                <w:rFonts w:ascii="Times New Roman" w:hAnsi="Times New Roman" w:cs="Times New Roman"/>
                <w:sz w:val="26"/>
                <w:szCs w:val="26"/>
              </w:rPr>
              <w:t>1 603</w:t>
            </w:r>
          </w:p>
        </w:tc>
        <w:tc>
          <w:tcPr>
            <w:tcW w:w="3191" w:type="dxa"/>
          </w:tcPr>
          <w:p w:rsidR="00D065DC" w:rsidRPr="00424BFF" w:rsidRDefault="00D065DC" w:rsidP="002C499A">
            <w:pPr>
              <w:pStyle w:val="ConsPlusNormal"/>
              <w:widowControl/>
              <w:ind w:left="-79" w:firstLine="0"/>
              <w:jc w:val="center"/>
              <w:rPr>
                <w:rFonts w:ascii="Times New Roman" w:hAnsi="Times New Roman" w:cs="Times New Roman"/>
                <w:sz w:val="26"/>
                <w:szCs w:val="26"/>
              </w:rPr>
            </w:pPr>
            <w:r>
              <w:rPr>
                <w:rFonts w:ascii="Times New Roman" w:hAnsi="Times New Roman" w:cs="Times New Roman"/>
                <w:sz w:val="26"/>
                <w:szCs w:val="26"/>
              </w:rPr>
              <w:t>17 954</w:t>
            </w:r>
          </w:p>
        </w:tc>
      </w:tr>
      <w:tr w:rsidR="00D065DC" w:rsidRPr="00424BFF" w:rsidTr="002C499A">
        <w:trPr>
          <w:jc w:val="center"/>
        </w:trPr>
        <w:tc>
          <w:tcPr>
            <w:tcW w:w="3189" w:type="dxa"/>
          </w:tcPr>
          <w:p w:rsidR="00D065DC" w:rsidRPr="00424BFF" w:rsidRDefault="00D065DC" w:rsidP="002C499A">
            <w:pPr>
              <w:pStyle w:val="ConsPlusNormal"/>
              <w:widowControl/>
              <w:ind w:firstLine="0"/>
              <w:jc w:val="center"/>
              <w:rPr>
                <w:rFonts w:ascii="Times New Roman" w:hAnsi="Times New Roman" w:cs="Times New Roman"/>
                <w:sz w:val="26"/>
                <w:szCs w:val="26"/>
              </w:rPr>
            </w:pPr>
            <w:r w:rsidRPr="00424BFF">
              <w:rPr>
                <w:rFonts w:ascii="Times New Roman" w:hAnsi="Times New Roman" w:cs="Times New Roman"/>
                <w:sz w:val="26"/>
                <w:szCs w:val="26"/>
              </w:rPr>
              <w:t>Односкатные автомобили: ГАЗ, ЗИЛ-133, ЗИЛ-157</w:t>
            </w:r>
          </w:p>
        </w:tc>
        <w:tc>
          <w:tcPr>
            <w:tcW w:w="3190" w:type="dxa"/>
            <w:vAlign w:val="center"/>
          </w:tcPr>
          <w:p w:rsidR="00D065DC" w:rsidRPr="00424BFF" w:rsidRDefault="00D065DC" w:rsidP="002C499A">
            <w:pPr>
              <w:pStyle w:val="ConsPlusNormal"/>
              <w:widowControl/>
              <w:ind w:left="-137" w:right="-138" w:firstLine="0"/>
              <w:jc w:val="center"/>
              <w:rPr>
                <w:rFonts w:ascii="Times New Roman" w:hAnsi="Times New Roman" w:cs="Times New Roman"/>
                <w:sz w:val="26"/>
                <w:szCs w:val="26"/>
              </w:rPr>
            </w:pPr>
            <w:r>
              <w:rPr>
                <w:rFonts w:ascii="Times New Roman" w:hAnsi="Times New Roman" w:cs="Times New Roman"/>
                <w:sz w:val="26"/>
                <w:szCs w:val="26"/>
              </w:rPr>
              <w:t>740</w:t>
            </w:r>
          </w:p>
        </w:tc>
        <w:tc>
          <w:tcPr>
            <w:tcW w:w="3191" w:type="dxa"/>
            <w:vAlign w:val="center"/>
          </w:tcPr>
          <w:p w:rsidR="00D065DC" w:rsidRPr="00424BFF" w:rsidRDefault="00D065DC" w:rsidP="002C499A">
            <w:pPr>
              <w:pStyle w:val="ConsPlusNormal"/>
              <w:widowControl/>
              <w:ind w:left="-79" w:firstLine="0"/>
              <w:jc w:val="center"/>
              <w:rPr>
                <w:rFonts w:ascii="Times New Roman" w:hAnsi="Times New Roman" w:cs="Times New Roman"/>
                <w:sz w:val="26"/>
                <w:szCs w:val="26"/>
              </w:rPr>
            </w:pPr>
            <w:r>
              <w:rPr>
                <w:rFonts w:ascii="Times New Roman" w:hAnsi="Times New Roman" w:cs="Times New Roman"/>
                <w:sz w:val="26"/>
                <w:szCs w:val="26"/>
              </w:rPr>
              <w:t>8 658</w:t>
            </w:r>
          </w:p>
        </w:tc>
      </w:tr>
    </w:tbl>
    <w:p w:rsidR="00D065DC" w:rsidRPr="00424BFF" w:rsidRDefault="00D065DC" w:rsidP="00D065DC">
      <w:pPr>
        <w:tabs>
          <w:tab w:val="left" w:pos="993"/>
        </w:tabs>
        <w:ind w:left="709"/>
        <w:jc w:val="both"/>
        <w:rPr>
          <w:color w:val="000000"/>
          <w:sz w:val="26"/>
          <w:szCs w:val="26"/>
        </w:rPr>
      </w:pPr>
    </w:p>
    <w:p w:rsidR="00D065DC" w:rsidRPr="00424BFF" w:rsidRDefault="00D065DC" w:rsidP="00D065DC">
      <w:pPr>
        <w:numPr>
          <w:ilvl w:val="0"/>
          <w:numId w:val="18"/>
        </w:numPr>
        <w:tabs>
          <w:tab w:val="left" w:pos="993"/>
        </w:tabs>
        <w:spacing w:line="360" w:lineRule="exact"/>
        <w:ind w:left="0" w:firstLine="709"/>
        <w:jc w:val="both"/>
        <w:rPr>
          <w:color w:val="000000"/>
          <w:sz w:val="26"/>
          <w:szCs w:val="26"/>
        </w:rPr>
      </w:pPr>
      <w:r w:rsidRPr="00424BFF">
        <w:rPr>
          <w:sz w:val="26"/>
          <w:szCs w:val="26"/>
        </w:rPr>
        <w:t xml:space="preserve">Денежные средства за пропуска  перечислять по следующим реквизитам: </w:t>
      </w:r>
    </w:p>
    <w:p w:rsidR="00D065DC" w:rsidRPr="00424BFF" w:rsidRDefault="00D065DC" w:rsidP="00D065DC">
      <w:pPr>
        <w:spacing w:line="360" w:lineRule="exact"/>
        <w:ind w:firstLine="709"/>
        <w:jc w:val="both"/>
        <w:rPr>
          <w:sz w:val="26"/>
          <w:szCs w:val="26"/>
        </w:rPr>
      </w:pPr>
      <w:r w:rsidRPr="00424BFF">
        <w:rPr>
          <w:color w:val="000000"/>
          <w:sz w:val="26"/>
          <w:szCs w:val="26"/>
        </w:rPr>
        <w:t>УФК по Нижегородской области (</w:t>
      </w:r>
      <w:r>
        <w:rPr>
          <w:color w:val="000000"/>
          <w:sz w:val="26"/>
          <w:szCs w:val="26"/>
        </w:rPr>
        <w:t>Управление по работе с территориями и благоустройству а</w:t>
      </w:r>
      <w:r w:rsidRPr="00424BFF">
        <w:rPr>
          <w:sz w:val="26"/>
          <w:szCs w:val="26"/>
        </w:rPr>
        <w:t>дминистраци</w:t>
      </w:r>
      <w:r>
        <w:rPr>
          <w:sz w:val="26"/>
          <w:szCs w:val="26"/>
        </w:rPr>
        <w:t>и</w:t>
      </w:r>
      <w:r w:rsidRPr="00424BFF">
        <w:rPr>
          <w:sz w:val="26"/>
          <w:szCs w:val="26"/>
        </w:rPr>
        <w:t xml:space="preserve"> городского округа город Шахунья Нижегородской области</w:t>
      </w:r>
      <w:r>
        <w:rPr>
          <w:sz w:val="26"/>
          <w:szCs w:val="26"/>
        </w:rPr>
        <w:t>,</w:t>
      </w:r>
      <w:r w:rsidRPr="00424BFF">
        <w:rPr>
          <w:sz w:val="26"/>
          <w:szCs w:val="26"/>
        </w:rPr>
        <w:t xml:space="preserve"> </w:t>
      </w:r>
      <w:proofErr w:type="spellStart"/>
      <w:r w:rsidRPr="00424BFF">
        <w:rPr>
          <w:sz w:val="26"/>
          <w:szCs w:val="26"/>
        </w:rPr>
        <w:t>л.с</w:t>
      </w:r>
      <w:proofErr w:type="spellEnd"/>
      <w:r w:rsidRPr="00424BFF">
        <w:rPr>
          <w:sz w:val="26"/>
          <w:szCs w:val="26"/>
        </w:rPr>
        <w:t xml:space="preserve">. </w:t>
      </w:r>
      <w:r>
        <w:rPr>
          <w:sz w:val="26"/>
          <w:szCs w:val="26"/>
        </w:rPr>
        <w:t>04323</w:t>
      </w:r>
      <w:r>
        <w:rPr>
          <w:sz w:val="26"/>
          <w:szCs w:val="26"/>
          <w:lang w:val="en-US"/>
        </w:rPr>
        <w:t>D</w:t>
      </w:r>
      <w:r w:rsidRPr="000965B4">
        <w:rPr>
          <w:sz w:val="26"/>
          <w:szCs w:val="26"/>
        </w:rPr>
        <w:t>01370</w:t>
      </w:r>
      <w:r w:rsidRPr="00424BFF">
        <w:rPr>
          <w:sz w:val="26"/>
          <w:szCs w:val="26"/>
        </w:rPr>
        <w:t>);</w:t>
      </w:r>
    </w:p>
    <w:p w:rsidR="00D065DC" w:rsidRPr="00424BFF" w:rsidRDefault="00D065DC" w:rsidP="00D065DC">
      <w:pPr>
        <w:spacing w:line="360" w:lineRule="exact"/>
        <w:ind w:firstLine="709"/>
        <w:rPr>
          <w:sz w:val="26"/>
          <w:szCs w:val="26"/>
        </w:rPr>
      </w:pPr>
      <w:r w:rsidRPr="00424BFF">
        <w:rPr>
          <w:sz w:val="26"/>
          <w:szCs w:val="26"/>
        </w:rPr>
        <w:t>ИНН 523901</w:t>
      </w:r>
      <w:r w:rsidRPr="000965B4">
        <w:rPr>
          <w:sz w:val="26"/>
          <w:szCs w:val="26"/>
        </w:rPr>
        <w:t>1635</w:t>
      </w:r>
      <w:r w:rsidRPr="00424BFF">
        <w:rPr>
          <w:sz w:val="26"/>
          <w:szCs w:val="26"/>
        </w:rPr>
        <w:t>, КПП 523901001;</w:t>
      </w:r>
    </w:p>
    <w:p w:rsidR="00D065DC" w:rsidRPr="00424BFF" w:rsidRDefault="00D065DC" w:rsidP="00D065DC">
      <w:pPr>
        <w:spacing w:line="360" w:lineRule="exact"/>
        <w:ind w:firstLine="709"/>
        <w:rPr>
          <w:sz w:val="26"/>
          <w:szCs w:val="26"/>
        </w:rPr>
      </w:pPr>
      <w:r w:rsidRPr="00424BFF">
        <w:rPr>
          <w:sz w:val="26"/>
          <w:szCs w:val="26"/>
        </w:rPr>
        <w:t xml:space="preserve">БИК </w:t>
      </w:r>
      <w:r w:rsidRPr="000965B4">
        <w:rPr>
          <w:sz w:val="26"/>
          <w:szCs w:val="26"/>
        </w:rPr>
        <w:t xml:space="preserve">012202102, </w:t>
      </w:r>
      <w:r>
        <w:rPr>
          <w:sz w:val="26"/>
          <w:szCs w:val="26"/>
        </w:rPr>
        <w:t>Казначейский счет № 031006430000000013200</w:t>
      </w:r>
      <w:r w:rsidRPr="00424BFF">
        <w:rPr>
          <w:sz w:val="26"/>
          <w:szCs w:val="26"/>
        </w:rPr>
        <w:t xml:space="preserve">, </w:t>
      </w:r>
      <w:proofErr w:type="gramStart"/>
      <w:r w:rsidRPr="00424BFF">
        <w:rPr>
          <w:sz w:val="26"/>
          <w:szCs w:val="26"/>
        </w:rPr>
        <w:t>Волго-Вятское</w:t>
      </w:r>
      <w:proofErr w:type="gramEnd"/>
      <w:r w:rsidRPr="00424BFF">
        <w:rPr>
          <w:sz w:val="26"/>
          <w:szCs w:val="26"/>
        </w:rPr>
        <w:t xml:space="preserve"> ГУ Банка России</w:t>
      </w:r>
      <w:r>
        <w:rPr>
          <w:sz w:val="26"/>
          <w:szCs w:val="26"/>
        </w:rPr>
        <w:t>//УФК по Нижегородской области</w:t>
      </w:r>
      <w:r w:rsidRPr="00424BFF">
        <w:rPr>
          <w:sz w:val="26"/>
          <w:szCs w:val="26"/>
        </w:rPr>
        <w:t xml:space="preserve"> г. Нижний Новгород</w:t>
      </w:r>
    </w:p>
    <w:p w:rsidR="00D065DC" w:rsidRPr="00424BFF" w:rsidRDefault="00D065DC" w:rsidP="00D065DC">
      <w:pPr>
        <w:spacing w:line="360" w:lineRule="exact"/>
        <w:ind w:firstLine="709"/>
        <w:rPr>
          <w:sz w:val="26"/>
          <w:szCs w:val="26"/>
        </w:rPr>
      </w:pPr>
      <w:r w:rsidRPr="00424BFF">
        <w:rPr>
          <w:sz w:val="26"/>
          <w:szCs w:val="26"/>
        </w:rPr>
        <w:t>Расчетный счет  401</w:t>
      </w:r>
      <w:r>
        <w:rPr>
          <w:sz w:val="26"/>
          <w:szCs w:val="26"/>
        </w:rPr>
        <w:t>02810745370000024</w:t>
      </w:r>
    </w:p>
    <w:p w:rsidR="00D065DC" w:rsidRPr="00424BFF" w:rsidRDefault="00D065DC" w:rsidP="00D065DC">
      <w:pPr>
        <w:tabs>
          <w:tab w:val="left" w:pos="993"/>
        </w:tabs>
        <w:spacing w:line="360" w:lineRule="exact"/>
        <w:ind w:firstLine="709"/>
        <w:rPr>
          <w:sz w:val="26"/>
          <w:szCs w:val="26"/>
        </w:rPr>
      </w:pPr>
      <w:r w:rsidRPr="00424BFF">
        <w:rPr>
          <w:sz w:val="26"/>
          <w:szCs w:val="26"/>
        </w:rPr>
        <w:t>КБК 48</w:t>
      </w:r>
      <w:r>
        <w:rPr>
          <w:sz w:val="26"/>
          <w:szCs w:val="26"/>
        </w:rPr>
        <w:t>8</w:t>
      </w:r>
      <w:r w:rsidRPr="00424BFF">
        <w:rPr>
          <w:sz w:val="26"/>
          <w:szCs w:val="26"/>
        </w:rPr>
        <w:t> 113 02994 04 0000 130</w:t>
      </w:r>
    </w:p>
    <w:p w:rsidR="00D065DC" w:rsidRPr="00424BFF" w:rsidRDefault="00D065DC" w:rsidP="00D065DC">
      <w:pPr>
        <w:numPr>
          <w:ilvl w:val="0"/>
          <w:numId w:val="18"/>
        </w:numPr>
        <w:shd w:val="clear" w:color="auto" w:fill="FFFFFF"/>
        <w:tabs>
          <w:tab w:val="left" w:pos="993"/>
        </w:tabs>
        <w:spacing w:line="360" w:lineRule="exact"/>
        <w:ind w:left="0" w:firstLine="709"/>
        <w:jc w:val="both"/>
        <w:rPr>
          <w:sz w:val="26"/>
          <w:szCs w:val="26"/>
        </w:rPr>
      </w:pPr>
      <w:r w:rsidRPr="00424BFF">
        <w:rPr>
          <w:sz w:val="26"/>
          <w:szCs w:val="26"/>
        </w:rPr>
        <w:t>Рекомендовать ОГИБДД Отдела МВД России по  городу Шахунья в течение всего периода действия временного ограничения движения транспортных средств, осуществлять строгий контроль по исполнению настоящего постановления.</w:t>
      </w:r>
    </w:p>
    <w:p w:rsidR="00D065DC" w:rsidRPr="00424BFF" w:rsidRDefault="00D065DC" w:rsidP="00D065DC">
      <w:pPr>
        <w:numPr>
          <w:ilvl w:val="0"/>
          <w:numId w:val="18"/>
        </w:numPr>
        <w:tabs>
          <w:tab w:val="left" w:pos="993"/>
        </w:tabs>
        <w:spacing w:line="360" w:lineRule="exact"/>
        <w:ind w:left="0" w:firstLine="709"/>
        <w:jc w:val="both"/>
        <w:rPr>
          <w:sz w:val="26"/>
          <w:szCs w:val="26"/>
        </w:rPr>
      </w:pPr>
      <w:r w:rsidRPr="00424BFF">
        <w:rPr>
          <w:sz w:val="26"/>
          <w:szCs w:val="26"/>
        </w:rPr>
        <w:t xml:space="preserve">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и </w:t>
      </w:r>
      <w:bookmarkStart w:id="0" w:name="2"/>
      <w:bookmarkStart w:id="1" w:name="3"/>
      <w:bookmarkEnd w:id="0"/>
      <w:bookmarkEnd w:id="1"/>
      <w:r w:rsidRPr="00424BFF">
        <w:rPr>
          <w:sz w:val="26"/>
          <w:szCs w:val="26"/>
        </w:rPr>
        <w:t xml:space="preserve">в газете «Знамя труда».    </w:t>
      </w:r>
    </w:p>
    <w:p w:rsidR="00D065DC" w:rsidRPr="00424BFF" w:rsidRDefault="00D065DC" w:rsidP="00D065DC">
      <w:pPr>
        <w:numPr>
          <w:ilvl w:val="0"/>
          <w:numId w:val="18"/>
        </w:numPr>
        <w:tabs>
          <w:tab w:val="left" w:pos="993"/>
        </w:tabs>
        <w:spacing w:line="360" w:lineRule="exact"/>
        <w:ind w:left="0" w:firstLine="709"/>
        <w:jc w:val="both"/>
        <w:rPr>
          <w:sz w:val="26"/>
          <w:szCs w:val="26"/>
        </w:rPr>
      </w:pPr>
      <w:proofErr w:type="gramStart"/>
      <w:r w:rsidRPr="00424BFF">
        <w:rPr>
          <w:sz w:val="26"/>
          <w:szCs w:val="26"/>
        </w:rPr>
        <w:t>Контроль за</w:t>
      </w:r>
      <w:proofErr w:type="gramEnd"/>
      <w:r w:rsidRPr="00424BFF">
        <w:rPr>
          <w:sz w:val="26"/>
          <w:szCs w:val="26"/>
        </w:rPr>
        <w:t xml:space="preserve"> исполнением настоящего постановления возложить на заместителя главы администрации, начальника </w:t>
      </w:r>
      <w:r>
        <w:rPr>
          <w:sz w:val="26"/>
          <w:szCs w:val="26"/>
        </w:rPr>
        <w:t>У</w:t>
      </w:r>
      <w:r w:rsidRPr="00424BFF">
        <w:rPr>
          <w:sz w:val="26"/>
          <w:szCs w:val="26"/>
        </w:rPr>
        <w:t xml:space="preserve">правления по работе с территориями и благоустройству </w:t>
      </w:r>
      <w:r>
        <w:rPr>
          <w:sz w:val="26"/>
          <w:szCs w:val="26"/>
        </w:rPr>
        <w:t xml:space="preserve">администрации </w:t>
      </w:r>
      <w:r w:rsidRPr="00424BFF">
        <w:rPr>
          <w:sz w:val="26"/>
          <w:szCs w:val="26"/>
        </w:rPr>
        <w:t xml:space="preserve">городского округа город Шахунья Нижегородской области Софронова Ю.А. </w:t>
      </w:r>
    </w:p>
    <w:p w:rsidR="000652EE" w:rsidRDefault="000652EE" w:rsidP="004D2212">
      <w:pPr>
        <w:jc w:val="both"/>
        <w:rPr>
          <w:sz w:val="26"/>
          <w:szCs w:val="26"/>
        </w:rPr>
      </w:pPr>
    </w:p>
    <w:p w:rsidR="00D065DC" w:rsidRDefault="00D065DC" w:rsidP="004D2212">
      <w:pPr>
        <w:jc w:val="both"/>
        <w:rPr>
          <w:sz w:val="26"/>
          <w:szCs w:val="26"/>
        </w:rPr>
      </w:pPr>
    </w:p>
    <w:p w:rsidR="00D065DC" w:rsidRDefault="00D065DC" w:rsidP="004D2212">
      <w:pPr>
        <w:jc w:val="both"/>
        <w:rPr>
          <w:sz w:val="26"/>
          <w:szCs w:val="26"/>
        </w:rPr>
      </w:pPr>
    </w:p>
    <w:p w:rsidR="00D065DC" w:rsidRDefault="00D065DC" w:rsidP="004D2212">
      <w:pPr>
        <w:jc w:val="both"/>
        <w:rPr>
          <w:sz w:val="26"/>
          <w:szCs w:val="26"/>
        </w:rPr>
      </w:pPr>
    </w:p>
    <w:p w:rsidR="00D065DC" w:rsidRDefault="00D065DC" w:rsidP="004D2212">
      <w:pPr>
        <w:jc w:val="both"/>
        <w:rPr>
          <w:sz w:val="26"/>
          <w:szCs w:val="26"/>
        </w:rPr>
      </w:pPr>
    </w:p>
    <w:p w:rsidR="004E149F" w:rsidRDefault="004E149F" w:rsidP="004E149F">
      <w:pPr>
        <w:jc w:val="both"/>
        <w:rPr>
          <w:sz w:val="26"/>
          <w:szCs w:val="26"/>
        </w:rPr>
      </w:pPr>
      <w:proofErr w:type="spellStart"/>
      <w:r>
        <w:rPr>
          <w:sz w:val="26"/>
          <w:szCs w:val="26"/>
        </w:rPr>
        <w:t>И.о</w:t>
      </w:r>
      <w:proofErr w:type="spellEnd"/>
      <w:r>
        <w:rPr>
          <w:sz w:val="26"/>
          <w:szCs w:val="26"/>
        </w:rPr>
        <w:t>. главы местного самоуправления</w:t>
      </w:r>
    </w:p>
    <w:p w:rsidR="004E149F" w:rsidRDefault="004E149F" w:rsidP="004E149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9D5BB1" w:rsidRPr="00D065DC" w:rsidRDefault="009D5BB1" w:rsidP="00D065DC">
      <w:pPr>
        <w:tabs>
          <w:tab w:val="right" w:pos="9355"/>
        </w:tabs>
        <w:jc w:val="both"/>
        <w:rPr>
          <w:sz w:val="22"/>
          <w:szCs w:val="22"/>
        </w:rPr>
      </w:pPr>
      <w:bookmarkStart w:id="2" w:name="_GoBack"/>
      <w:bookmarkEnd w:id="2"/>
    </w:p>
    <w:sectPr w:rsidR="009D5BB1" w:rsidRPr="00D065DC" w:rsidSect="007266A4">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89" w:rsidRDefault="00332489">
      <w:r>
        <w:separator/>
      </w:r>
    </w:p>
  </w:endnote>
  <w:endnote w:type="continuationSeparator" w:id="0">
    <w:p w:rsidR="00332489" w:rsidRDefault="0033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89" w:rsidRDefault="00332489">
      <w:r>
        <w:separator/>
      </w:r>
    </w:p>
  </w:footnote>
  <w:footnote w:type="continuationSeparator" w:id="0">
    <w:p w:rsidR="00332489" w:rsidRDefault="00332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02190"/>
    <w:multiLevelType w:val="multilevel"/>
    <w:tmpl w:val="00703D8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4"/>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C597E"/>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252B"/>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489"/>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65DC"/>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211F"/>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7880-8832-4B0B-BD5D-8AD1FF3E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2021-04-09T05:25:00Z</cp:lastPrinted>
  <dcterms:created xsi:type="dcterms:W3CDTF">2021-04-09T05:25:00Z</dcterms:created>
  <dcterms:modified xsi:type="dcterms:W3CDTF">2021-04-09T05:25:00Z</dcterms:modified>
</cp:coreProperties>
</file>