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4" w:type="dxa"/>
        <w:jc w:val="center"/>
        <w:tblInd w:w="-432" w:type="dxa"/>
        <w:tblLayout w:type="fixed"/>
        <w:tblLook w:val="0000" w:firstRow="0" w:lastRow="0" w:firstColumn="0" w:lastColumn="0" w:noHBand="0" w:noVBand="0"/>
      </w:tblPr>
      <w:tblGrid>
        <w:gridCol w:w="10384"/>
      </w:tblGrid>
      <w:tr w:rsidR="00301F28" w:rsidTr="002E386E">
        <w:trPr>
          <w:jc w:val="center"/>
        </w:trPr>
        <w:tc>
          <w:tcPr>
            <w:tcW w:w="10384" w:type="dxa"/>
          </w:tcPr>
          <w:p w:rsidR="00301F28" w:rsidRDefault="009D40FC">
            <w:pPr>
              <w:jc w:val="center"/>
            </w:pPr>
            <w:r w:rsidRPr="006E71A2">
              <w:rPr>
                <w:noProof/>
              </w:rPr>
              <w:drawing>
                <wp:inline distT="0" distB="0" distL="0" distR="0" wp14:anchorId="23B7EA74" wp14:editId="61AA1A16">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730618">
        <w:rPr>
          <w:sz w:val="26"/>
          <w:szCs w:val="26"/>
          <w:u w:val="single"/>
        </w:rPr>
        <w:t>06</w:t>
      </w:r>
      <w:r>
        <w:rPr>
          <w:sz w:val="26"/>
          <w:szCs w:val="26"/>
          <w:u w:val="single"/>
        </w:rPr>
        <w:t xml:space="preserve"> </w:t>
      </w:r>
      <w:r w:rsidR="00A44DC7">
        <w:rPr>
          <w:sz w:val="26"/>
          <w:szCs w:val="26"/>
          <w:u w:val="single"/>
        </w:rPr>
        <w:t>дека</w:t>
      </w:r>
      <w:r w:rsidR="003520D9">
        <w:rPr>
          <w:sz w:val="26"/>
          <w:szCs w:val="26"/>
          <w:u w:val="single"/>
        </w:rPr>
        <w:t>бря</w:t>
      </w:r>
      <w:r>
        <w:rPr>
          <w:sz w:val="26"/>
          <w:szCs w:val="26"/>
          <w:u w:val="single"/>
        </w:rPr>
        <w:t xml:space="preserve"> 2019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730618">
        <w:rPr>
          <w:sz w:val="26"/>
          <w:szCs w:val="26"/>
          <w:u w:val="single"/>
        </w:rPr>
        <w:t>1456</w:t>
      </w:r>
    </w:p>
    <w:p w:rsidR="00C7504B" w:rsidRDefault="00C7504B" w:rsidP="00FD3E2F">
      <w:pPr>
        <w:jc w:val="both"/>
        <w:rPr>
          <w:sz w:val="26"/>
          <w:szCs w:val="26"/>
        </w:rPr>
      </w:pPr>
    </w:p>
    <w:p w:rsidR="00454572" w:rsidRDefault="00454572" w:rsidP="00FD3E2F">
      <w:pPr>
        <w:jc w:val="both"/>
        <w:rPr>
          <w:sz w:val="26"/>
          <w:szCs w:val="26"/>
        </w:rPr>
      </w:pPr>
    </w:p>
    <w:p w:rsidR="00730618" w:rsidRDefault="00730618" w:rsidP="00730618">
      <w:pPr>
        <w:jc w:val="center"/>
        <w:rPr>
          <w:b/>
          <w:sz w:val="26"/>
          <w:szCs w:val="26"/>
        </w:rPr>
      </w:pPr>
      <w:proofErr w:type="gramStart"/>
      <w:r w:rsidRPr="00730618">
        <w:rPr>
          <w:b/>
          <w:sz w:val="26"/>
          <w:szCs w:val="26"/>
        </w:rPr>
        <w:t xml:space="preserve">О внесении изменений в постановление администрации городского округа город Шахунья Нижегородской области от 13.09.2019 № 1029 «О прогнозе социально-экономического развития городского округа город Шахунья Нижегородской области на среднесрочный период (на 2020 год и плановый период 2021 и </w:t>
      </w:r>
      <w:proofErr w:type="gramEnd"/>
    </w:p>
    <w:p w:rsidR="00730618" w:rsidRPr="00730618" w:rsidRDefault="00730618" w:rsidP="00730618">
      <w:pPr>
        <w:jc w:val="center"/>
        <w:rPr>
          <w:b/>
          <w:sz w:val="26"/>
          <w:szCs w:val="26"/>
        </w:rPr>
      </w:pPr>
      <w:proofErr w:type="gramStart"/>
      <w:r w:rsidRPr="00730618">
        <w:rPr>
          <w:b/>
          <w:sz w:val="26"/>
          <w:szCs w:val="26"/>
        </w:rPr>
        <w:t>2022 годов) и на период до 2024 года</w:t>
      </w:r>
      <w:proofErr w:type="gramEnd"/>
    </w:p>
    <w:p w:rsidR="00730618" w:rsidRDefault="00730618" w:rsidP="00FD3E2F">
      <w:pPr>
        <w:jc w:val="both"/>
        <w:rPr>
          <w:sz w:val="26"/>
          <w:szCs w:val="26"/>
        </w:rPr>
      </w:pPr>
    </w:p>
    <w:p w:rsidR="00730618" w:rsidRDefault="00730618" w:rsidP="00FD3E2F">
      <w:pPr>
        <w:jc w:val="both"/>
        <w:rPr>
          <w:sz w:val="26"/>
          <w:szCs w:val="26"/>
        </w:rPr>
      </w:pPr>
    </w:p>
    <w:p w:rsidR="00730618" w:rsidRPr="00730618" w:rsidRDefault="00730618" w:rsidP="00730618">
      <w:pPr>
        <w:spacing w:line="360" w:lineRule="exact"/>
        <w:ind w:firstLine="709"/>
        <w:jc w:val="both"/>
        <w:rPr>
          <w:sz w:val="26"/>
          <w:szCs w:val="26"/>
        </w:rPr>
      </w:pPr>
      <w:r w:rsidRPr="00730618">
        <w:rPr>
          <w:sz w:val="26"/>
          <w:szCs w:val="26"/>
        </w:rPr>
        <w:t xml:space="preserve">В целях формирования бюджета городского округа город Шахунья Нижегородской области на среднесрочный период (на 2020 год и плановый период 2021 и 2022 годов) администрация городского округа город Шахунья Нижегородской области                           </w:t>
      </w:r>
      <w:proofErr w:type="gramStart"/>
      <w:r w:rsidRPr="00730618">
        <w:rPr>
          <w:b/>
          <w:sz w:val="26"/>
          <w:szCs w:val="26"/>
        </w:rPr>
        <w:t>п</w:t>
      </w:r>
      <w:proofErr w:type="gramEnd"/>
      <w:r w:rsidRPr="00730618">
        <w:rPr>
          <w:b/>
          <w:sz w:val="26"/>
          <w:szCs w:val="26"/>
        </w:rPr>
        <w:t xml:space="preserve"> о с т а н о в л я е т</w:t>
      </w:r>
      <w:r w:rsidRPr="00730618">
        <w:rPr>
          <w:sz w:val="26"/>
          <w:szCs w:val="26"/>
        </w:rPr>
        <w:t>:</w:t>
      </w:r>
    </w:p>
    <w:p w:rsidR="00730618" w:rsidRPr="00730618" w:rsidRDefault="00730618" w:rsidP="00730618">
      <w:pPr>
        <w:spacing w:line="360" w:lineRule="exact"/>
        <w:ind w:firstLine="709"/>
        <w:jc w:val="both"/>
        <w:rPr>
          <w:sz w:val="26"/>
          <w:szCs w:val="26"/>
        </w:rPr>
      </w:pPr>
      <w:r w:rsidRPr="00730618">
        <w:rPr>
          <w:sz w:val="26"/>
          <w:szCs w:val="26"/>
        </w:rPr>
        <w:t xml:space="preserve">1. </w:t>
      </w:r>
      <w:proofErr w:type="gramStart"/>
      <w:r w:rsidRPr="00730618">
        <w:rPr>
          <w:sz w:val="26"/>
          <w:szCs w:val="26"/>
        </w:rPr>
        <w:t>В постановление администрации городского округа город Шахунья Нижегородской области от 13.09.2019 № 1029 «О прогнозе социально-экономического развития городского округа город Шахунья Нижегородской области на среднесрочный период (на 2020 год и плановый период 2021 и 2022 годов) и на период до 2024 года) внести изменения согласно приложению к настоящему постановлению.</w:t>
      </w:r>
      <w:proofErr w:type="gramEnd"/>
    </w:p>
    <w:p w:rsidR="00730618" w:rsidRPr="00730618" w:rsidRDefault="00730618" w:rsidP="00730618">
      <w:pPr>
        <w:spacing w:line="360" w:lineRule="exact"/>
        <w:ind w:firstLine="709"/>
        <w:jc w:val="both"/>
        <w:rPr>
          <w:sz w:val="26"/>
          <w:szCs w:val="26"/>
        </w:rPr>
      </w:pPr>
      <w:r w:rsidRPr="00730618">
        <w:rPr>
          <w:sz w:val="26"/>
          <w:szCs w:val="26"/>
        </w:rPr>
        <w:t xml:space="preserve">2. Настоящее постановление вступает в силу </w:t>
      </w:r>
      <w:proofErr w:type="gramStart"/>
      <w:r w:rsidRPr="00730618">
        <w:rPr>
          <w:sz w:val="26"/>
          <w:szCs w:val="26"/>
        </w:rPr>
        <w:t>с даты подписания</w:t>
      </w:r>
      <w:proofErr w:type="gramEnd"/>
      <w:r w:rsidRPr="00730618">
        <w:rPr>
          <w:sz w:val="26"/>
          <w:szCs w:val="26"/>
        </w:rPr>
        <w:t>.</w:t>
      </w:r>
    </w:p>
    <w:p w:rsidR="00730618" w:rsidRPr="00730618" w:rsidRDefault="00730618" w:rsidP="00730618">
      <w:pPr>
        <w:spacing w:line="360" w:lineRule="exact"/>
        <w:ind w:firstLine="709"/>
        <w:jc w:val="both"/>
        <w:rPr>
          <w:sz w:val="26"/>
          <w:szCs w:val="26"/>
        </w:rPr>
      </w:pPr>
      <w:r w:rsidRPr="00730618">
        <w:rPr>
          <w:sz w:val="26"/>
          <w:szCs w:val="26"/>
        </w:rPr>
        <w:t>3. 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w:t>
      </w:r>
    </w:p>
    <w:p w:rsidR="00730618" w:rsidRDefault="00730618" w:rsidP="00730618">
      <w:pPr>
        <w:spacing w:line="360" w:lineRule="exact"/>
        <w:ind w:firstLine="709"/>
        <w:jc w:val="both"/>
        <w:rPr>
          <w:sz w:val="26"/>
          <w:szCs w:val="26"/>
        </w:rPr>
      </w:pPr>
      <w:r w:rsidRPr="00730618">
        <w:rPr>
          <w:sz w:val="26"/>
          <w:szCs w:val="26"/>
        </w:rPr>
        <w:t xml:space="preserve">4.  </w:t>
      </w:r>
      <w:proofErr w:type="gramStart"/>
      <w:r w:rsidRPr="00730618">
        <w:rPr>
          <w:sz w:val="26"/>
          <w:szCs w:val="26"/>
        </w:rPr>
        <w:t>Контроль за</w:t>
      </w:r>
      <w:proofErr w:type="gramEnd"/>
      <w:r w:rsidRPr="00730618">
        <w:rPr>
          <w:sz w:val="26"/>
          <w:szCs w:val="26"/>
        </w:rPr>
        <w:t xml:space="preserve"> исполнением настоящего постановления оставляю за собой.</w:t>
      </w:r>
    </w:p>
    <w:p w:rsidR="00730618" w:rsidRDefault="00730618" w:rsidP="00FD3E2F">
      <w:pPr>
        <w:jc w:val="both"/>
        <w:rPr>
          <w:sz w:val="26"/>
          <w:szCs w:val="26"/>
        </w:rPr>
      </w:pPr>
    </w:p>
    <w:p w:rsidR="00730618" w:rsidRDefault="00730618" w:rsidP="00FD3E2F">
      <w:pPr>
        <w:jc w:val="both"/>
        <w:rPr>
          <w:sz w:val="26"/>
          <w:szCs w:val="26"/>
        </w:rPr>
      </w:pPr>
    </w:p>
    <w:p w:rsidR="00BB1995" w:rsidRDefault="00BB1995" w:rsidP="004D2212">
      <w:pPr>
        <w:jc w:val="both"/>
        <w:rPr>
          <w:sz w:val="26"/>
          <w:szCs w:val="26"/>
        </w:rPr>
      </w:pPr>
    </w:p>
    <w:p w:rsidR="004D2212" w:rsidRDefault="004D2212" w:rsidP="004D2212">
      <w:pPr>
        <w:jc w:val="both"/>
        <w:rPr>
          <w:sz w:val="26"/>
          <w:szCs w:val="26"/>
        </w:rPr>
      </w:pPr>
      <w:r>
        <w:rPr>
          <w:sz w:val="26"/>
          <w:szCs w:val="26"/>
        </w:rPr>
        <w:t>Глава местного самоуправления</w:t>
      </w:r>
    </w:p>
    <w:p w:rsidR="004D2212" w:rsidRDefault="004D2212" w:rsidP="004D2212">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4439B5">
        <w:rPr>
          <w:sz w:val="26"/>
          <w:szCs w:val="26"/>
        </w:rPr>
        <w:t xml:space="preserve">  </w:t>
      </w:r>
      <w:proofErr w:type="spellStart"/>
      <w:r>
        <w:rPr>
          <w:sz w:val="26"/>
          <w:szCs w:val="26"/>
        </w:rPr>
        <w:t>Р.В.Кошелев</w:t>
      </w:r>
      <w:proofErr w:type="spellEnd"/>
    </w:p>
    <w:p w:rsidR="0065705F" w:rsidRDefault="0065705F" w:rsidP="004D2212">
      <w:pPr>
        <w:jc w:val="both"/>
        <w:rPr>
          <w:sz w:val="22"/>
          <w:szCs w:val="22"/>
        </w:rPr>
      </w:pPr>
    </w:p>
    <w:p w:rsidR="00F21D55" w:rsidRDefault="00F21D55" w:rsidP="004D2212">
      <w:pPr>
        <w:jc w:val="both"/>
        <w:rPr>
          <w:sz w:val="22"/>
          <w:szCs w:val="22"/>
        </w:rPr>
      </w:pPr>
    </w:p>
    <w:p w:rsidR="00F21D55" w:rsidRDefault="00F21D55" w:rsidP="004D2212">
      <w:pPr>
        <w:jc w:val="both"/>
        <w:rPr>
          <w:sz w:val="22"/>
          <w:szCs w:val="22"/>
        </w:rPr>
      </w:pPr>
    </w:p>
    <w:p w:rsidR="00F21D55" w:rsidRDefault="00F21D55" w:rsidP="004D2212">
      <w:pPr>
        <w:jc w:val="both"/>
        <w:rPr>
          <w:sz w:val="22"/>
          <w:szCs w:val="22"/>
        </w:rPr>
      </w:pPr>
    </w:p>
    <w:p w:rsidR="00FC6FD9" w:rsidRDefault="00FC6FD9" w:rsidP="004D2212">
      <w:pPr>
        <w:jc w:val="both"/>
        <w:rPr>
          <w:sz w:val="22"/>
          <w:szCs w:val="22"/>
        </w:rPr>
      </w:pPr>
    </w:p>
    <w:p w:rsidR="00730618" w:rsidRDefault="00730618" w:rsidP="00AE7650">
      <w:pPr>
        <w:spacing w:line="360" w:lineRule="auto"/>
        <w:jc w:val="both"/>
        <w:rPr>
          <w:sz w:val="22"/>
          <w:szCs w:val="22"/>
        </w:rPr>
      </w:pPr>
      <w:bookmarkStart w:id="0" w:name="_GoBack"/>
      <w:bookmarkEnd w:id="0"/>
    </w:p>
    <w:p w:rsidR="00730618" w:rsidRDefault="00730618" w:rsidP="00AE7650">
      <w:pPr>
        <w:spacing w:line="360" w:lineRule="auto"/>
        <w:jc w:val="both"/>
        <w:rPr>
          <w:sz w:val="22"/>
          <w:szCs w:val="22"/>
        </w:rPr>
        <w:sectPr w:rsidR="00730618" w:rsidSect="004D2212">
          <w:footerReference w:type="even" r:id="rId10"/>
          <w:pgSz w:w="11909" w:h="16834"/>
          <w:pgMar w:top="993" w:right="569" w:bottom="568" w:left="1276" w:header="720" w:footer="720" w:gutter="0"/>
          <w:cols w:space="720"/>
          <w:titlePg/>
        </w:sectPr>
      </w:pPr>
    </w:p>
    <w:p w:rsidR="00730618" w:rsidRDefault="00730618" w:rsidP="00730618">
      <w:pPr>
        <w:ind w:left="6096"/>
        <w:jc w:val="center"/>
        <w:rPr>
          <w:sz w:val="26"/>
          <w:szCs w:val="26"/>
        </w:rPr>
      </w:pPr>
      <w:r>
        <w:rPr>
          <w:sz w:val="26"/>
          <w:szCs w:val="26"/>
        </w:rPr>
        <w:lastRenderedPageBreak/>
        <w:t>ОДОБРЕН</w:t>
      </w:r>
    </w:p>
    <w:p w:rsidR="00730618" w:rsidRDefault="00730618" w:rsidP="00730618">
      <w:pPr>
        <w:ind w:left="6096"/>
        <w:jc w:val="center"/>
        <w:rPr>
          <w:sz w:val="26"/>
          <w:szCs w:val="26"/>
        </w:rPr>
      </w:pPr>
      <w:r>
        <w:rPr>
          <w:sz w:val="26"/>
          <w:szCs w:val="26"/>
        </w:rPr>
        <w:t>постановлением администрации городского округа город Шахунья Нижегородской области</w:t>
      </w:r>
    </w:p>
    <w:p w:rsidR="00730618" w:rsidRDefault="00730618" w:rsidP="00730618">
      <w:pPr>
        <w:ind w:left="6096"/>
        <w:jc w:val="center"/>
        <w:rPr>
          <w:sz w:val="26"/>
          <w:szCs w:val="26"/>
        </w:rPr>
      </w:pPr>
      <w:r>
        <w:rPr>
          <w:sz w:val="26"/>
          <w:szCs w:val="26"/>
        </w:rPr>
        <w:t xml:space="preserve">от </w:t>
      </w:r>
      <w:r>
        <w:rPr>
          <w:sz w:val="26"/>
          <w:szCs w:val="26"/>
        </w:rPr>
        <w:t>06.12.</w:t>
      </w:r>
      <w:r>
        <w:rPr>
          <w:sz w:val="26"/>
          <w:szCs w:val="26"/>
        </w:rPr>
        <w:t xml:space="preserve">2019 г. № </w:t>
      </w:r>
      <w:r>
        <w:rPr>
          <w:sz w:val="26"/>
          <w:szCs w:val="26"/>
        </w:rPr>
        <w:t>1456</w:t>
      </w:r>
    </w:p>
    <w:p w:rsidR="00730618" w:rsidRDefault="00730618" w:rsidP="00730618">
      <w:pPr>
        <w:widowControl w:val="0"/>
        <w:autoSpaceDE w:val="0"/>
        <w:autoSpaceDN w:val="0"/>
        <w:adjustRightInd w:val="0"/>
        <w:jc w:val="center"/>
        <w:rPr>
          <w:b/>
          <w:sz w:val="27"/>
          <w:szCs w:val="27"/>
        </w:rPr>
      </w:pPr>
    </w:p>
    <w:p w:rsidR="00730618" w:rsidRDefault="00730618" w:rsidP="00730618">
      <w:pPr>
        <w:widowControl w:val="0"/>
        <w:autoSpaceDE w:val="0"/>
        <w:autoSpaceDN w:val="0"/>
        <w:adjustRightInd w:val="0"/>
        <w:jc w:val="center"/>
        <w:rPr>
          <w:b/>
          <w:sz w:val="27"/>
          <w:szCs w:val="27"/>
        </w:rPr>
      </w:pPr>
    </w:p>
    <w:p w:rsidR="00730618" w:rsidRPr="00730618" w:rsidRDefault="00730618" w:rsidP="006249E2">
      <w:pPr>
        <w:widowControl w:val="0"/>
        <w:autoSpaceDE w:val="0"/>
        <w:autoSpaceDN w:val="0"/>
        <w:adjustRightInd w:val="0"/>
        <w:ind w:left="426" w:right="-286"/>
        <w:jc w:val="center"/>
        <w:rPr>
          <w:b/>
          <w:color w:val="000000" w:themeColor="text1"/>
          <w:sz w:val="26"/>
          <w:szCs w:val="26"/>
        </w:rPr>
      </w:pPr>
      <w:r w:rsidRPr="00730618">
        <w:rPr>
          <w:b/>
          <w:color w:val="000000" w:themeColor="text1"/>
          <w:sz w:val="26"/>
          <w:szCs w:val="26"/>
        </w:rPr>
        <w:t>ПРОГНОЗ</w:t>
      </w:r>
    </w:p>
    <w:p w:rsidR="00730618" w:rsidRPr="00730618" w:rsidRDefault="00730618" w:rsidP="006249E2">
      <w:pPr>
        <w:widowControl w:val="0"/>
        <w:autoSpaceDE w:val="0"/>
        <w:autoSpaceDN w:val="0"/>
        <w:adjustRightInd w:val="0"/>
        <w:ind w:left="426" w:right="-286"/>
        <w:jc w:val="center"/>
        <w:rPr>
          <w:b/>
          <w:color w:val="000000" w:themeColor="text1"/>
          <w:sz w:val="26"/>
          <w:szCs w:val="26"/>
        </w:rPr>
      </w:pPr>
      <w:r w:rsidRPr="00730618">
        <w:rPr>
          <w:b/>
          <w:color w:val="000000" w:themeColor="text1"/>
          <w:sz w:val="26"/>
          <w:szCs w:val="26"/>
        </w:rPr>
        <w:t xml:space="preserve">СОЦИАЛЬНО-ЭКОНОМИЧЕСКОГО РАЗВИТИЯ </w:t>
      </w:r>
    </w:p>
    <w:p w:rsidR="00730618" w:rsidRPr="00730618" w:rsidRDefault="00730618" w:rsidP="006249E2">
      <w:pPr>
        <w:widowControl w:val="0"/>
        <w:autoSpaceDE w:val="0"/>
        <w:autoSpaceDN w:val="0"/>
        <w:adjustRightInd w:val="0"/>
        <w:ind w:left="426" w:right="-286"/>
        <w:jc w:val="center"/>
        <w:rPr>
          <w:b/>
          <w:color w:val="000000" w:themeColor="text1"/>
          <w:sz w:val="26"/>
          <w:szCs w:val="26"/>
        </w:rPr>
      </w:pPr>
      <w:r w:rsidRPr="00730618">
        <w:rPr>
          <w:b/>
          <w:color w:val="000000" w:themeColor="text1"/>
          <w:sz w:val="26"/>
          <w:szCs w:val="26"/>
        </w:rPr>
        <w:t>ГОРОДСКОГО ОКРУГА ГОРОД ШАХУНЬЯ НИЖЕГОРОДСКОЙ ОБЛАСТИ НА СРЕДНЕСРОЧНЫЙ ПЕРИОД</w:t>
      </w:r>
    </w:p>
    <w:p w:rsidR="00730618" w:rsidRPr="00730618" w:rsidRDefault="00730618" w:rsidP="006249E2">
      <w:pPr>
        <w:widowControl w:val="0"/>
        <w:autoSpaceDE w:val="0"/>
        <w:autoSpaceDN w:val="0"/>
        <w:adjustRightInd w:val="0"/>
        <w:ind w:left="426" w:right="-286"/>
        <w:jc w:val="center"/>
        <w:rPr>
          <w:b/>
          <w:color w:val="000000" w:themeColor="text1"/>
          <w:sz w:val="26"/>
          <w:szCs w:val="26"/>
        </w:rPr>
      </w:pPr>
      <w:r w:rsidRPr="00730618">
        <w:rPr>
          <w:b/>
          <w:color w:val="000000" w:themeColor="text1"/>
          <w:sz w:val="26"/>
          <w:szCs w:val="26"/>
        </w:rPr>
        <w:t>(НА 2020 ГОД И ПЛАНОВЫЙ ПЕРИОД 2021</w:t>
      </w:r>
      <w:proofErr w:type="gramStart"/>
      <w:r w:rsidRPr="00730618">
        <w:rPr>
          <w:b/>
          <w:color w:val="000000" w:themeColor="text1"/>
          <w:sz w:val="26"/>
          <w:szCs w:val="26"/>
        </w:rPr>
        <w:t xml:space="preserve"> И</w:t>
      </w:r>
      <w:proofErr w:type="gramEnd"/>
      <w:r w:rsidRPr="00730618">
        <w:rPr>
          <w:b/>
          <w:color w:val="000000" w:themeColor="text1"/>
          <w:sz w:val="26"/>
          <w:szCs w:val="26"/>
        </w:rPr>
        <w:t xml:space="preserve"> 2022 ГОДОВ) </w:t>
      </w:r>
    </w:p>
    <w:p w:rsidR="00730618" w:rsidRPr="00730618" w:rsidRDefault="00730618" w:rsidP="006249E2">
      <w:pPr>
        <w:widowControl w:val="0"/>
        <w:autoSpaceDE w:val="0"/>
        <w:autoSpaceDN w:val="0"/>
        <w:adjustRightInd w:val="0"/>
        <w:ind w:right="-286"/>
        <w:jc w:val="center"/>
        <w:rPr>
          <w:color w:val="000000" w:themeColor="text1"/>
          <w:sz w:val="27"/>
          <w:szCs w:val="27"/>
        </w:rPr>
      </w:pPr>
    </w:p>
    <w:p w:rsidR="00730618" w:rsidRPr="00730618" w:rsidRDefault="00730618" w:rsidP="006249E2">
      <w:pPr>
        <w:widowControl w:val="0"/>
        <w:autoSpaceDE w:val="0"/>
        <w:autoSpaceDN w:val="0"/>
        <w:adjustRightInd w:val="0"/>
        <w:spacing w:line="360" w:lineRule="exact"/>
        <w:ind w:left="426" w:right="-286" w:firstLine="539"/>
        <w:jc w:val="both"/>
        <w:rPr>
          <w:color w:val="000000" w:themeColor="text1"/>
          <w:sz w:val="26"/>
          <w:szCs w:val="26"/>
        </w:rPr>
      </w:pPr>
      <w:r w:rsidRPr="00730618">
        <w:rPr>
          <w:color w:val="000000" w:themeColor="text1"/>
          <w:sz w:val="26"/>
          <w:szCs w:val="26"/>
        </w:rPr>
        <w:t xml:space="preserve">Прогноз социально-экономического развития городского округа город Шахунья Нижегородской области на среднесрочный период (на 2020 год и плановый период 2021 и 2022 годов) (далее – прогноз социально-экономического развития) разработан с учетом действующей нормативно-правовой базы: </w:t>
      </w:r>
    </w:p>
    <w:p w:rsidR="00730618" w:rsidRPr="00730618" w:rsidRDefault="00730618" w:rsidP="006249E2">
      <w:pPr>
        <w:widowControl w:val="0"/>
        <w:autoSpaceDE w:val="0"/>
        <w:autoSpaceDN w:val="0"/>
        <w:adjustRightInd w:val="0"/>
        <w:spacing w:line="360" w:lineRule="exact"/>
        <w:ind w:left="426" w:right="-286" w:firstLine="539"/>
        <w:jc w:val="both"/>
        <w:rPr>
          <w:color w:val="000000" w:themeColor="text1"/>
          <w:sz w:val="26"/>
          <w:szCs w:val="26"/>
        </w:rPr>
      </w:pPr>
      <w:r w:rsidRPr="00730618">
        <w:rPr>
          <w:color w:val="000000" w:themeColor="text1"/>
          <w:sz w:val="26"/>
          <w:szCs w:val="26"/>
        </w:rPr>
        <w:t xml:space="preserve">Бюджетного </w:t>
      </w:r>
      <w:hyperlink r:id="rId11" w:history="1">
        <w:r w:rsidRPr="00730618">
          <w:rPr>
            <w:rStyle w:val="af1"/>
            <w:color w:val="000000" w:themeColor="text1"/>
            <w:sz w:val="26"/>
            <w:szCs w:val="26"/>
          </w:rPr>
          <w:t>кодекса</w:t>
        </w:r>
      </w:hyperlink>
      <w:r w:rsidRPr="00730618">
        <w:rPr>
          <w:color w:val="000000" w:themeColor="text1"/>
          <w:sz w:val="26"/>
          <w:szCs w:val="26"/>
        </w:rPr>
        <w:t xml:space="preserve"> Российской Федерации;</w:t>
      </w:r>
    </w:p>
    <w:p w:rsidR="00730618" w:rsidRPr="00730618" w:rsidRDefault="00730618" w:rsidP="006249E2">
      <w:pPr>
        <w:pStyle w:val="ConsPlusNormal"/>
        <w:spacing w:line="360" w:lineRule="exact"/>
        <w:ind w:left="426" w:right="-286" w:firstLine="539"/>
        <w:jc w:val="both"/>
        <w:rPr>
          <w:rFonts w:ascii="Times New Roman" w:hAnsi="Times New Roman" w:cs="Times New Roman"/>
          <w:color w:val="000000" w:themeColor="text1"/>
          <w:sz w:val="26"/>
          <w:szCs w:val="26"/>
        </w:rPr>
      </w:pPr>
      <w:r w:rsidRPr="00730618">
        <w:rPr>
          <w:rFonts w:ascii="Times New Roman" w:hAnsi="Times New Roman" w:cs="Times New Roman"/>
          <w:color w:val="000000" w:themeColor="text1"/>
          <w:sz w:val="26"/>
          <w:szCs w:val="26"/>
        </w:rPr>
        <w:t>Федерального закона от 28 июня 2014 года № 172-ФЗ «О стратегическом планировании в Российской Федерации»;</w:t>
      </w:r>
    </w:p>
    <w:p w:rsidR="00730618" w:rsidRPr="00730618" w:rsidRDefault="00730618" w:rsidP="006249E2">
      <w:pPr>
        <w:widowControl w:val="0"/>
        <w:autoSpaceDE w:val="0"/>
        <w:autoSpaceDN w:val="0"/>
        <w:adjustRightInd w:val="0"/>
        <w:spacing w:line="360" w:lineRule="exact"/>
        <w:ind w:left="426" w:right="-286" w:firstLine="539"/>
        <w:jc w:val="both"/>
        <w:rPr>
          <w:color w:val="000000" w:themeColor="text1"/>
          <w:sz w:val="26"/>
          <w:szCs w:val="26"/>
        </w:rPr>
      </w:pPr>
      <w:hyperlink r:id="rId12" w:history="1">
        <w:r w:rsidRPr="00730618">
          <w:rPr>
            <w:rStyle w:val="af1"/>
            <w:color w:val="000000" w:themeColor="text1"/>
            <w:sz w:val="26"/>
            <w:szCs w:val="26"/>
          </w:rPr>
          <w:t>Закона</w:t>
        </w:r>
      </w:hyperlink>
      <w:r w:rsidRPr="00730618">
        <w:rPr>
          <w:color w:val="000000" w:themeColor="text1"/>
          <w:sz w:val="26"/>
          <w:szCs w:val="26"/>
        </w:rPr>
        <w:t xml:space="preserve"> Нижегородской области от 03 марта 2015 года № 24-З «О стратегическом планировании в Нижегородской области»;</w:t>
      </w:r>
    </w:p>
    <w:p w:rsidR="00730618" w:rsidRPr="00730618" w:rsidRDefault="00730618" w:rsidP="006249E2">
      <w:pPr>
        <w:widowControl w:val="0"/>
        <w:autoSpaceDE w:val="0"/>
        <w:autoSpaceDN w:val="0"/>
        <w:adjustRightInd w:val="0"/>
        <w:spacing w:line="360" w:lineRule="exact"/>
        <w:ind w:left="426" w:right="-286" w:firstLine="539"/>
        <w:jc w:val="both"/>
        <w:rPr>
          <w:color w:val="000000" w:themeColor="text1"/>
          <w:sz w:val="26"/>
          <w:szCs w:val="26"/>
        </w:rPr>
      </w:pPr>
      <w:r w:rsidRPr="00730618">
        <w:rPr>
          <w:color w:val="000000" w:themeColor="text1"/>
          <w:sz w:val="26"/>
          <w:szCs w:val="26"/>
        </w:rPr>
        <w:t>Приказа Министерства экономического развития и инвестиций Нижегородской области от 22 мая 2019 года № 64 «Об организации разработки прогноза социально – экономического развития Нижегородской области на среднесрочный период (на 2020 год и плановый период 2021 и 2022 годов) и на период до 2024 года»;</w:t>
      </w:r>
    </w:p>
    <w:p w:rsidR="00730618" w:rsidRPr="00730618" w:rsidRDefault="00730618" w:rsidP="006249E2">
      <w:pPr>
        <w:widowControl w:val="0"/>
        <w:autoSpaceDE w:val="0"/>
        <w:autoSpaceDN w:val="0"/>
        <w:adjustRightInd w:val="0"/>
        <w:spacing w:line="360" w:lineRule="exact"/>
        <w:ind w:left="426" w:right="-286" w:firstLine="539"/>
        <w:jc w:val="both"/>
        <w:rPr>
          <w:color w:val="000000" w:themeColor="text1"/>
          <w:sz w:val="26"/>
          <w:szCs w:val="26"/>
        </w:rPr>
      </w:pPr>
      <w:hyperlink r:id="rId13" w:history="1">
        <w:r w:rsidRPr="00730618">
          <w:rPr>
            <w:rStyle w:val="af1"/>
            <w:color w:val="000000" w:themeColor="text1"/>
            <w:sz w:val="26"/>
            <w:szCs w:val="26"/>
          </w:rPr>
          <w:t>Решения</w:t>
        </w:r>
      </w:hyperlink>
      <w:r w:rsidRPr="00730618">
        <w:rPr>
          <w:color w:val="000000" w:themeColor="text1"/>
          <w:sz w:val="26"/>
          <w:szCs w:val="26"/>
        </w:rPr>
        <w:t xml:space="preserve"> Совета депутатов городского округа город Шахунья от 28.04.2017 № 78-4 «Об утверждении Положения «О Бюджетном процессе в городском округе город Шахунья Нижегородской области» (с изменениями);</w:t>
      </w:r>
    </w:p>
    <w:p w:rsidR="00730618" w:rsidRPr="00730618" w:rsidRDefault="00730618" w:rsidP="006249E2">
      <w:pPr>
        <w:widowControl w:val="0"/>
        <w:autoSpaceDE w:val="0"/>
        <w:autoSpaceDN w:val="0"/>
        <w:adjustRightInd w:val="0"/>
        <w:spacing w:line="360" w:lineRule="exact"/>
        <w:ind w:left="426" w:right="-286" w:firstLine="539"/>
        <w:jc w:val="both"/>
        <w:rPr>
          <w:color w:val="000000" w:themeColor="text1"/>
          <w:sz w:val="26"/>
          <w:szCs w:val="26"/>
        </w:rPr>
      </w:pPr>
      <w:r w:rsidRPr="00730618">
        <w:rPr>
          <w:color w:val="000000" w:themeColor="text1"/>
          <w:sz w:val="26"/>
          <w:szCs w:val="26"/>
        </w:rPr>
        <w:t>Постановления администрации городского округа город Шахунья Нижегородской области от 19.11.2015 № 1325 «Об утверждении порядка разработки, корректировки, осуществлении мониторинга и реализации прогноза социально-экономического развития городского округа город Шахунья Нижегородской области на среднесрочный период» (с изменениями).</w:t>
      </w:r>
    </w:p>
    <w:p w:rsidR="00730618" w:rsidRPr="00730618" w:rsidRDefault="00730618" w:rsidP="006249E2">
      <w:pPr>
        <w:widowControl w:val="0"/>
        <w:autoSpaceDE w:val="0"/>
        <w:autoSpaceDN w:val="0"/>
        <w:adjustRightInd w:val="0"/>
        <w:spacing w:line="360" w:lineRule="exact"/>
        <w:ind w:left="426" w:right="-286" w:firstLine="539"/>
        <w:jc w:val="both"/>
        <w:rPr>
          <w:color w:val="000000" w:themeColor="text1"/>
          <w:sz w:val="26"/>
          <w:szCs w:val="26"/>
        </w:rPr>
      </w:pPr>
      <w:r w:rsidRPr="00730618">
        <w:rPr>
          <w:color w:val="000000" w:themeColor="text1"/>
          <w:sz w:val="26"/>
          <w:szCs w:val="26"/>
        </w:rPr>
        <w:t xml:space="preserve">Прогноз социально-экономического развития разработан Управлением экономики, прогнозирования, инвестиционной политики и муниципального имущества городского округа город Шахунья Нижегородской области. </w:t>
      </w:r>
      <w:proofErr w:type="gramStart"/>
      <w:r w:rsidRPr="00730618">
        <w:rPr>
          <w:color w:val="000000" w:themeColor="text1"/>
          <w:sz w:val="26"/>
          <w:szCs w:val="26"/>
        </w:rPr>
        <w:t>Прогноз социально-экономического развития разработан в соответствии с основными параметрами прогноза социально-экономического развития Нижегородской области на среднесрочный период на 2020 год и плановый период 2021 и 2022 годов) и на период до 2024 года, утвержденными приказом министерства экономического развития и инвестиций Нижегородской области от 22 мая 2019 года № 64 «Об организации разработки прогноза социально – экономического развития Нижегородской области на среднесрочный период</w:t>
      </w:r>
      <w:proofErr w:type="gramEnd"/>
      <w:r w:rsidRPr="00730618">
        <w:rPr>
          <w:color w:val="000000" w:themeColor="text1"/>
          <w:sz w:val="26"/>
          <w:szCs w:val="26"/>
        </w:rPr>
        <w:t xml:space="preserve"> (на 2020 год и плановый период 2021 и 2022 годов) и на период до 2024 года» и с учетом намерений </w:t>
      </w:r>
      <w:r w:rsidRPr="00730618">
        <w:rPr>
          <w:color w:val="000000" w:themeColor="text1"/>
          <w:sz w:val="26"/>
          <w:szCs w:val="26"/>
        </w:rPr>
        <w:lastRenderedPageBreak/>
        <w:t>хозяйствующих субъектов, расположенных на территории округа.</w:t>
      </w:r>
    </w:p>
    <w:p w:rsidR="00730618" w:rsidRPr="00730618" w:rsidRDefault="00730618" w:rsidP="006249E2">
      <w:pPr>
        <w:widowControl w:val="0"/>
        <w:autoSpaceDE w:val="0"/>
        <w:autoSpaceDN w:val="0"/>
        <w:adjustRightInd w:val="0"/>
        <w:spacing w:line="360" w:lineRule="exact"/>
        <w:ind w:left="426" w:right="-286" w:firstLine="539"/>
        <w:jc w:val="both"/>
        <w:rPr>
          <w:color w:val="000000" w:themeColor="text1"/>
          <w:sz w:val="26"/>
          <w:szCs w:val="26"/>
        </w:rPr>
      </w:pPr>
      <w:r w:rsidRPr="00730618">
        <w:rPr>
          <w:color w:val="000000" w:themeColor="text1"/>
          <w:sz w:val="26"/>
          <w:szCs w:val="26"/>
        </w:rPr>
        <w:t>Прогноз социально-экономического развития используется при формировании бюджета городского округа на 2020 год, плановый период 2021 и 2022 годов.</w:t>
      </w:r>
    </w:p>
    <w:p w:rsidR="00730618" w:rsidRPr="00730618" w:rsidRDefault="00730618" w:rsidP="006249E2">
      <w:pPr>
        <w:widowControl w:val="0"/>
        <w:autoSpaceDE w:val="0"/>
        <w:autoSpaceDN w:val="0"/>
        <w:adjustRightInd w:val="0"/>
        <w:spacing w:line="360" w:lineRule="exact"/>
        <w:ind w:right="-286" w:firstLine="539"/>
        <w:jc w:val="both"/>
        <w:rPr>
          <w:color w:val="000000" w:themeColor="text1"/>
          <w:sz w:val="26"/>
          <w:szCs w:val="26"/>
        </w:rPr>
      </w:pPr>
    </w:p>
    <w:p w:rsidR="00730618" w:rsidRPr="00730618" w:rsidRDefault="00730618" w:rsidP="006249E2">
      <w:pPr>
        <w:widowControl w:val="0"/>
        <w:autoSpaceDE w:val="0"/>
        <w:autoSpaceDN w:val="0"/>
        <w:adjustRightInd w:val="0"/>
        <w:spacing w:line="360" w:lineRule="exact"/>
        <w:ind w:right="-286" w:firstLine="539"/>
        <w:jc w:val="both"/>
        <w:rPr>
          <w:b/>
          <w:color w:val="000000" w:themeColor="text1"/>
          <w:sz w:val="26"/>
          <w:szCs w:val="26"/>
        </w:rPr>
      </w:pPr>
      <w:r w:rsidRPr="00730618">
        <w:rPr>
          <w:b/>
          <w:color w:val="000000" w:themeColor="text1"/>
          <w:sz w:val="27"/>
          <w:szCs w:val="27"/>
        </w:rPr>
        <w:t xml:space="preserve">Прогноз социально-экономического развития городского округа город Шахунья Нижегородской области </w:t>
      </w:r>
      <w:r w:rsidRPr="00730618">
        <w:rPr>
          <w:b/>
          <w:color w:val="000000" w:themeColor="text1"/>
          <w:sz w:val="26"/>
          <w:szCs w:val="26"/>
        </w:rPr>
        <w:t>на 2020 год и плановый период 2021 и 2022 годов</w:t>
      </w:r>
    </w:p>
    <w:p w:rsidR="00730618" w:rsidRPr="00730618" w:rsidRDefault="00730618" w:rsidP="006249E2">
      <w:pPr>
        <w:widowControl w:val="0"/>
        <w:autoSpaceDE w:val="0"/>
        <w:autoSpaceDN w:val="0"/>
        <w:adjustRightInd w:val="0"/>
        <w:spacing w:line="360" w:lineRule="exact"/>
        <w:ind w:right="-286" w:firstLine="539"/>
        <w:jc w:val="both"/>
        <w:rPr>
          <w:b/>
          <w:color w:val="000000" w:themeColor="text1"/>
          <w:sz w:val="27"/>
          <w:szCs w:val="27"/>
        </w:rPr>
      </w:pPr>
    </w:p>
    <w:tbl>
      <w:tblPr>
        <w:tblW w:w="10485" w:type="dxa"/>
        <w:jc w:val="center"/>
        <w:tblInd w:w="392" w:type="dxa"/>
        <w:tblLayout w:type="fixed"/>
        <w:tblLook w:val="04A0" w:firstRow="1" w:lastRow="0" w:firstColumn="1" w:lastColumn="0" w:noHBand="0" w:noVBand="1"/>
      </w:tblPr>
      <w:tblGrid>
        <w:gridCol w:w="2833"/>
        <w:gridCol w:w="1275"/>
        <w:gridCol w:w="1274"/>
        <w:gridCol w:w="1276"/>
        <w:gridCol w:w="1276"/>
        <w:gridCol w:w="1276"/>
        <w:gridCol w:w="1275"/>
      </w:tblGrid>
      <w:tr w:rsidR="00730618" w:rsidRPr="00730618" w:rsidTr="00730618">
        <w:trPr>
          <w:trHeight w:val="1050"/>
          <w:tblHeader/>
          <w:jc w:val="center"/>
        </w:trPr>
        <w:tc>
          <w:tcPr>
            <w:tcW w:w="2835" w:type="dxa"/>
            <w:vMerge w:val="restart"/>
            <w:tcBorders>
              <w:top w:val="single" w:sz="4" w:space="0" w:color="auto"/>
              <w:left w:val="single" w:sz="4" w:space="0" w:color="auto"/>
              <w:bottom w:val="single" w:sz="4" w:space="0" w:color="auto"/>
              <w:right w:val="single" w:sz="4" w:space="0" w:color="auto"/>
            </w:tcBorders>
            <w:noWrap/>
            <w:vAlign w:val="center"/>
            <w:hideMark/>
          </w:tcPr>
          <w:p w:rsidR="00730618" w:rsidRPr="00730618" w:rsidRDefault="00730618" w:rsidP="006249E2">
            <w:pPr>
              <w:ind w:right="-286"/>
              <w:jc w:val="center"/>
              <w:rPr>
                <w:b/>
                <w:bCs/>
                <w:color w:val="000000" w:themeColor="text1"/>
                <w:sz w:val="20"/>
                <w:szCs w:val="20"/>
              </w:rPr>
            </w:pPr>
            <w:r w:rsidRPr="00730618">
              <w:rPr>
                <w:b/>
                <w:bCs/>
                <w:color w:val="000000" w:themeColor="text1"/>
                <w:sz w:val="20"/>
                <w:szCs w:val="20"/>
              </w:rPr>
              <w:t>Показатели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30618" w:rsidRPr="00730618" w:rsidRDefault="00730618" w:rsidP="006249E2">
            <w:pPr>
              <w:ind w:right="-286"/>
              <w:jc w:val="center"/>
              <w:rPr>
                <w:b/>
                <w:bCs/>
                <w:color w:val="000000" w:themeColor="text1"/>
                <w:sz w:val="20"/>
                <w:szCs w:val="20"/>
              </w:rPr>
            </w:pPr>
            <w:r w:rsidRPr="00730618">
              <w:rPr>
                <w:b/>
                <w:bCs/>
                <w:color w:val="000000" w:themeColor="text1"/>
                <w:sz w:val="20"/>
                <w:szCs w:val="20"/>
              </w:rPr>
              <w:t>Единица измерения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730618" w:rsidRPr="00730618" w:rsidRDefault="00730618" w:rsidP="006249E2">
            <w:pPr>
              <w:ind w:right="-286"/>
              <w:jc w:val="center"/>
              <w:rPr>
                <w:b/>
                <w:bCs/>
                <w:color w:val="000000" w:themeColor="text1"/>
                <w:sz w:val="20"/>
                <w:szCs w:val="20"/>
              </w:rPr>
            </w:pPr>
            <w:r w:rsidRPr="00730618">
              <w:rPr>
                <w:b/>
                <w:bCs/>
                <w:color w:val="000000" w:themeColor="text1"/>
                <w:sz w:val="20"/>
                <w:szCs w:val="20"/>
              </w:rPr>
              <w:t>2018 год (отчет)</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rsidR="00730618" w:rsidRPr="00730618" w:rsidRDefault="00730618" w:rsidP="006249E2">
            <w:pPr>
              <w:ind w:right="-286"/>
              <w:jc w:val="center"/>
              <w:rPr>
                <w:b/>
                <w:bCs/>
                <w:color w:val="000000" w:themeColor="text1"/>
                <w:sz w:val="20"/>
                <w:szCs w:val="20"/>
              </w:rPr>
            </w:pPr>
            <w:r w:rsidRPr="00730618">
              <w:rPr>
                <w:b/>
                <w:bCs/>
                <w:color w:val="000000" w:themeColor="text1"/>
                <w:sz w:val="20"/>
                <w:szCs w:val="20"/>
              </w:rPr>
              <w:t>2019 год оценка</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rsidR="00730618" w:rsidRPr="00730618" w:rsidRDefault="00730618" w:rsidP="006249E2">
            <w:pPr>
              <w:ind w:right="-286"/>
              <w:jc w:val="center"/>
              <w:rPr>
                <w:b/>
                <w:bCs/>
                <w:color w:val="000000" w:themeColor="text1"/>
                <w:sz w:val="20"/>
                <w:szCs w:val="20"/>
              </w:rPr>
            </w:pPr>
            <w:r w:rsidRPr="00730618">
              <w:rPr>
                <w:b/>
                <w:bCs/>
                <w:color w:val="000000" w:themeColor="text1"/>
                <w:sz w:val="20"/>
                <w:szCs w:val="20"/>
              </w:rPr>
              <w:t>2020 год прогноз</w:t>
            </w:r>
          </w:p>
        </w:tc>
        <w:tc>
          <w:tcPr>
            <w:tcW w:w="1276" w:type="dxa"/>
            <w:vMerge w:val="restart"/>
            <w:tcBorders>
              <w:top w:val="single" w:sz="4" w:space="0" w:color="auto"/>
              <w:left w:val="single" w:sz="4" w:space="0" w:color="auto"/>
              <w:bottom w:val="single" w:sz="4" w:space="0" w:color="000000"/>
              <w:right w:val="single" w:sz="4" w:space="0" w:color="auto"/>
            </w:tcBorders>
            <w:vAlign w:val="center"/>
            <w:hideMark/>
          </w:tcPr>
          <w:p w:rsidR="00730618" w:rsidRPr="00730618" w:rsidRDefault="00730618" w:rsidP="006249E2">
            <w:pPr>
              <w:ind w:right="-286"/>
              <w:jc w:val="center"/>
              <w:rPr>
                <w:b/>
                <w:bCs/>
                <w:color w:val="000000" w:themeColor="text1"/>
                <w:sz w:val="20"/>
                <w:szCs w:val="20"/>
              </w:rPr>
            </w:pPr>
            <w:r w:rsidRPr="00730618">
              <w:rPr>
                <w:b/>
                <w:bCs/>
                <w:color w:val="000000" w:themeColor="text1"/>
                <w:sz w:val="20"/>
                <w:szCs w:val="20"/>
              </w:rPr>
              <w:t>2021 год прогноз</w:t>
            </w:r>
          </w:p>
        </w:tc>
        <w:tc>
          <w:tcPr>
            <w:tcW w:w="1275" w:type="dxa"/>
            <w:vMerge w:val="restart"/>
            <w:tcBorders>
              <w:top w:val="single" w:sz="4" w:space="0" w:color="auto"/>
              <w:left w:val="single" w:sz="4" w:space="0" w:color="auto"/>
              <w:bottom w:val="single" w:sz="4" w:space="0" w:color="000000"/>
              <w:right w:val="single" w:sz="4" w:space="0" w:color="auto"/>
            </w:tcBorders>
            <w:vAlign w:val="center"/>
            <w:hideMark/>
          </w:tcPr>
          <w:p w:rsidR="00730618" w:rsidRPr="00730618" w:rsidRDefault="00730618" w:rsidP="006249E2">
            <w:pPr>
              <w:ind w:right="-286"/>
              <w:jc w:val="center"/>
              <w:rPr>
                <w:b/>
                <w:bCs/>
                <w:color w:val="000000" w:themeColor="text1"/>
                <w:sz w:val="20"/>
                <w:szCs w:val="20"/>
              </w:rPr>
            </w:pPr>
            <w:r w:rsidRPr="00730618">
              <w:rPr>
                <w:b/>
                <w:bCs/>
                <w:color w:val="000000" w:themeColor="text1"/>
                <w:sz w:val="20"/>
                <w:szCs w:val="20"/>
              </w:rPr>
              <w:t>2022 год прогноз</w:t>
            </w:r>
          </w:p>
        </w:tc>
      </w:tr>
      <w:tr w:rsidR="00730618" w:rsidRPr="00730618" w:rsidTr="00730618">
        <w:trPr>
          <w:trHeight w:val="230"/>
          <w:tblHeader/>
          <w:jc w:val="center"/>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730618" w:rsidRPr="00730618" w:rsidRDefault="00730618" w:rsidP="006249E2">
            <w:pPr>
              <w:ind w:right="-286"/>
              <w:rPr>
                <w:b/>
                <w:bCs/>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30618" w:rsidRPr="00730618" w:rsidRDefault="00730618" w:rsidP="006249E2">
            <w:pPr>
              <w:ind w:right="-286"/>
              <w:rPr>
                <w:b/>
                <w:bCs/>
                <w:color w:val="000000" w:themeColor="text1"/>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30618" w:rsidRPr="00730618" w:rsidRDefault="00730618" w:rsidP="006249E2">
            <w:pPr>
              <w:ind w:right="-286"/>
              <w:rPr>
                <w:b/>
                <w:bCs/>
                <w:color w:val="000000" w:themeColor="text1"/>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30618" w:rsidRPr="00730618" w:rsidRDefault="00730618" w:rsidP="006249E2">
            <w:pPr>
              <w:ind w:right="-286"/>
              <w:rPr>
                <w:b/>
                <w:bCs/>
                <w:color w:val="000000" w:themeColor="text1"/>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30618" w:rsidRPr="00730618" w:rsidRDefault="00730618" w:rsidP="006249E2">
            <w:pPr>
              <w:ind w:right="-286"/>
              <w:rPr>
                <w:b/>
                <w:bCs/>
                <w:color w:val="000000" w:themeColor="text1"/>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730618" w:rsidRPr="00730618" w:rsidRDefault="00730618" w:rsidP="006249E2">
            <w:pPr>
              <w:ind w:right="-286"/>
              <w:rPr>
                <w:b/>
                <w:bCs/>
                <w:color w:val="000000" w:themeColor="text1"/>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30618" w:rsidRPr="00730618" w:rsidRDefault="00730618" w:rsidP="006249E2">
            <w:pPr>
              <w:ind w:right="-286"/>
              <w:rPr>
                <w:b/>
                <w:bCs/>
                <w:color w:val="000000" w:themeColor="text1"/>
                <w:sz w:val="20"/>
                <w:szCs w:val="20"/>
              </w:rPr>
            </w:pPr>
          </w:p>
        </w:tc>
      </w:tr>
      <w:tr w:rsidR="00730618" w:rsidRPr="00730618" w:rsidTr="00730618">
        <w:trPr>
          <w:trHeight w:val="1410"/>
          <w:jc w:val="center"/>
        </w:trPr>
        <w:tc>
          <w:tcPr>
            <w:tcW w:w="2835" w:type="dxa"/>
            <w:tcBorders>
              <w:top w:val="nil"/>
              <w:left w:val="single" w:sz="4" w:space="0" w:color="auto"/>
              <w:bottom w:val="single" w:sz="4" w:space="0" w:color="auto"/>
              <w:right w:val="single" w:sz="4" w:space="0" w:color="auto"/>
            </w:tcBorders>
            <w:vAlign w:val="center"/>
            <w:hideMark/>
          </w:tcPr>
          <w:p w:rsidR="00730618" w:rsidRPr="00730618" w:rsidRDefault="00730618" w:rsidP="006249E2">
            <w:pPr>
              <w:ind w:right="-286"/>
              <w:rPr>
                <w:b/>
                <w:bCs/>
                <w:color w:val="000000" w:themeColor="text1"/>
                <w:sz w:val="20"/>
                <w:szCs w:val="20"/>
              </w:rPr>
            </w:pPr>
            <w:r w:rsidRPr="00730618">
              <w:rPr>
                <w:b/>
                <w:bCs/>
                <w:color w:val="000000" w:themeColor="text1"/>
                <w:sz w:val="20"/>
                <w:szCs w:val="20"/>
              </w:rPr>
              <w:t>1.Отгружено товаров собственного производства, выполнено работ и оказано услуг собственными силами (по полному кругу предприятий)</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 </w:t>
            </w:r>
          </w:p>
        </w:tc>
        <w:tc>
          <w:tcPr>
            <w:tcW w:w="1275" w:type="dxa"/>
            <w:tcBorders>
              <w:top w:val="nil"/>
              <w:left w:val="nil"/>
              <w:bottom w:val="single" w:sz="4" w:space="0" w:color="auto"/>
              <w:right w:val="single" w:sz="4" w:space="0" w:color="auto"/>
            </w:tcBorders>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 </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 </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 </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 </w:t>
            </w:r>
          </w:p>
        </w:tc>
        <w:tc>
          <w:tcPr>
            <w:tcW w:w="1275"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p>
        </w:tc>
      </w:tr>
      <w:tr w:rsidR="00730618" w:rsidRPr="00730618" w:rsidTr="00730618">
        <w:trPr>
          <w:trHeight w:val="315"/>
          <w:jc w:val="center"/>
        </w:trPr>
        <w:tc>
          <w:tcPr>
            <w:tcW w:w="2835" w:type="dxa"/>
            <w:tcBorders>
              <w:top w:val="nil"/>
              <w:left w:val="single" w:sz="4" w:space="0" w:color="auto"/>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в действующих ценах</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proofErr w:type="spellStart"/>
            <w:r w:rsidRPr="00730618">
              <w:rPr>
                <w:color w:val="000000" w:themeColor="text1"/>
                <w:sz w:val="20"/>
                <w:szCs w:val="20"/>
              </w:rPr>
              <w:t>млн</w:t>
            </w:r>
            <w:proofErr w:type="gramStart"/>
            <w:r w:rsidRPr="00730618">
              <w:rPr>
                <w:color w:val="000000" w:themeColor="text1"/>
                <w:sz w:val="20"/>
                <w:szCs w:val="20"/>
              </w:rPr>
              <w:t>.р</w:t>
            </w:r>
            <w:proofErr w:type="gramEnd"/>
            <w:r w:rsidRPr="00730618">
              <w:rPr>
                <w:color w:val="000000" w:themeColor="text1"/>
                <w:sz w:val="20"/>
                <w:szCs w:val="20"/>
              </w:rPr>
              <w:t>уб</w:t>
            </w:r>
            <w:proofErr w:type="spellEnd"/>
            <w:r w:rsidRPr="00730618">
              <w:rPr>
                <w:color w:val="000000" w:themeColor="text1"/>
                <w:sz w:val="20"/>
                <w:szCs w:val="20"/>
              </w:rPr>
              <w:t>.</w:t>
            </w:r>
          </w:p>
        </w:tc>
        <w:tc>
          <w:tcPr>
            <w:tcW w:w="1275" w:type="dxa"/>
            <w:tcBorders>
              <w:top w:val="nil"/>
              <w:left w:val="nil"/>
              <w:bottom w:val="single" w:sz="4" w:space="0" w:color="auto"/>
              <w:right w:val="single" w:sz="4" w:space="0" w:color="auto"/>
            </w:tcBorders>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5 659,5</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5 960,4</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6 213,5</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6 492,8</w:t>
            </w:r>
          </w:p>
        </w:tc>
        <w:tc>
          <w:tcPr>
            <w:tcW w:w="1275"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6 811,8</w:t>
            </w:r>
          </w:p>
        </w:tc>
      </w:tr>
      <w:tr w:rsidR="00730618" w:rsidRPr="00730618" w:rsidTr="00730618">
        <w:trPr>
          <w:trHeight w:val="315"/>
          <w:jc w:val="center"/>
        </w:trPr>
        <w:tc>
          <w:tcPr>
            <w:tcW w:w="2835" w:type="dxa"/>
            <w:tcBorders>
              <w:top w:val="nil"/>
              <w:left w:val="single" w:sz="4" w:space="0" w:color="auto"/>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в сопоставимых ценах</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w:t>
            </w:r>
          </w:p>
        </w:tc>
        <w:tc>
          <w:tcPr>
            <w:tcW w:w="1275" w:type="dxa"/>
            <w:tcBorders>
              <w:top w:val="nil"/>
              <w:left w:val="nil"/>
              <w:bottom w:val="single" w:sz="4" w:space="0" w:color="auto"/>
              <w:right w:val="single" w:sz="4" w:space="0" w:color="auto"/>
            </w:tcBorders>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106,0</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100,3</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100,2</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100,5</w:t>
            </w:r>
          </w:p>
        </w:tc>
        <w:tc>
          <w:tcPr>
            <w:tcW w:w="1275"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100,9</w:t>
            </w:r>
          </w:p>
        </w:tc>
      </w:tr>
      <w:tr w:rsidR="00730618" w:rsidRPr="00730618" w:rsidTr="00730618">
        <w:trPr>
          <w:trHeight w:val="285"/>
          <w:jc w:val="center"/>
        </w:trPr>
        <w:tc>
          <w:tcPr>
            <w:tcW w:w="2835" w:type="dxa"/>
            <w:tcBorders>
              <w:top w:val="nil"/>
              <w:left w:val="single" w:sz="4" w:space="0" w:color="auto"/>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 </w:t>
            </w:r>
          </w:p>
        </w:tc>
        <w:tc>
          <w:tcPr>
            <w:tcW w:w="1276" w:type="dxa"/>
            <w:tcBorders>
              <w:top w:val="nil"/>
              <w:left w:val="nil"/>
              <w:bottom w:val="single" w:sz="4" w:space="0" w:color="auto"/>
              <w:right w:val="single" w:sz="4" w:space="0" w:color="auto"/>
            </w:tcBorders>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 </w:t>
            </w:r>
          </w:p>
        </w:tc>
        <w:tc>
          <w:tcPr>
            <w:tcW w:w="1275" w:type="dxa"/>
            <w:tcBorders>
              <w:top w:val="nil"/>
              <w:left w:val="nil"/>
              <w:bottom w:val="single" w:sz="4" w:space="0" w:color="auto"/>
              <w:right w:val="single" w:sz="4" w:space="0" w:color="auto"/>
            </w:tcBorders>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 </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 </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 </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 </w:t>
            </w:r>
          </w:p>
        </w:tc>
        <w:tc>
          <w:tcPr>
            <w:tcW w:w="1275"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 </w:t>
            </w:r>
          </w:p>
        </w:tc>
      </w:tr>
      <w:tr w:rsidR="00730618" w:rsidRPr="00730618" w:rsidTr="00730618">
        <w:trPr>
          <w:trHeight w:val="1155"/>
          <w:jc w:val="center"/>
        </w:trPr>
        <w:tc>
          <w:tcPr>
            <w:tcW w:w="2835" w:type="dxa"/>
            <w:tcBorders>
              <w:top w:val="nil"/>
              <w:left w:val="single" w:sz="4" w:space="0" w:color="auto"/>
              <w:bottom w:val="single" w:sz="4" w:space="0" w:color="auto"/>
              <w:right w:val="single" w:sz="4" w:space="0" w:color="auto"/>
            </w:tcBorders>
            <w:vAlign w:val="center"/>
            <w:hideMark/>
          </w:tcPr>
          <w:p w:rsidR="00730618" w:rsidRPr="00730618" w:rsidRDefault="00730618" w:rsidP="006249E2">
            <w:pPr>
              <w:ind w:right="-286"/>
              <w:rPr>
                <w:b/>
                <w:bCs/>
                <w:color w:val="000000" w:themeColor="text1"/>
                <w:sz w:val="20"/>
                <w:szCs w:val="20"/>
              </w:rPr>
            </w:pPr>
            <w:r w:rsidRPr="00730618">
              <w:rPr>
                <w:b/>
                <w:bCs/>
                <w:color w:val="000000" w:themeColor="text1"/>
                <w:sz w:val="20"/>
                <w:szCs w:val="20"/>
              </w:rPr>
              <w:t>2.Отгружено товаров собственного производства, выполнено работ и оказано услуг собственными силами (</w:t>
            </w:r>
            <w:proofErr w:type="gramStart"/>
            <w:r w:rsidRPr="00730618">
              <w:rPr>
                <w:b/>
                <w:bCs/>
                <w:color w:val="000000" w:themeColor="text1"/>
                <w:sz w:val="20"/>
                <w:szCs w:val="20"/>
              </w:rPr>
              <w:t>по</w:t>
            </w:r>
            <w:proofErr w:type="gramEnd"/>
            <w:r w:rsidRPr="00730618">
              <w:rPr>
                <w:b/>
                <w:bCs/>
                <w:color w:val="000000" w:themeColor="text1"/>
                <w:sz w:val="20"/>
                <w:szCs w:val="20"/>
              </w:rPr>
              <w:t xml:space="preserve"> крупным и средним предприятий)</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 </w:t>
            </w:r>
          </w:p>
        </w:tc>
        <w:tc>
          <w:tcPr>
            <w:tcW w:w="1275"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5"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r>
      <w:tr w:rsidR="00730618" w:rsidRPr="00730618" w:rsidTr="00730618">
        <w:trPr>
          <w:trHeight w:val="255"/>
          <w:jc w:val="center"/>
        </w:trPr>
        <w:tc>
          <w:tcPr>
            <w:tcW w:w="2835" w:type="dxa"/>
            <w:tcBorders>
              <w:top w:val="nil"/>
              <w:left w:val="single" w:sz="4" w:space="0" w:color="auto"/>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в действующих ценах</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proofErr w:type="spellStart"/>
            <w:r w:rsidRPr="00730618">
              <w:rPr>
                <w:color w:val="000000" w:themeColor="text1"/>
                <w:sz w:val="20"/>
                <w:szCs w:val="20"/>
              </w:rPr>
              <w:t>млн</w:t>
            </w:r>
            <w:proofErr w:type="gramStart"/>
            <w:r w:rsidRPr="00730618">
              <w:rPr>
                <w:color w:val="000000" w:themeColor="text1"/>
                <w:sz w:val="20"/>
                <w:szCs w:val="20"/>
              </w:rPr>
              <w:t>.р</w:t>
            </w:r>
            <w:proofErr w:type="gramEnd"/>
            <w:r w:rsidRPr="00730618">
              <w:rPr>
                <w:color w:val="000000" w:themeColor="text1"/>
                <w:sz w:val="20"/>
                <w:szCs w:val="20"/>
              </w:rPr>
              <w:t>уб</w:t>
            </w:r>
            <w:proofErr w:type="spellEnd"/>
            <w:r w:rsidRPr="00730618">
              <w:rPr>
                <w:color w:val="000000" w:themeColor="text1"/>
                <w:sz w:val="20"/>
                <w:szCs w:val="20"/>
              </w:rPr>
              <w:t>.</w:t>
            </w:r>
          </w:p>
        </w:tc>
        <w:tc>
          <w:tcPr>
            <w:tcW w:w="1275"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4 143,1</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4 581,1</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4 765,2</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4 972,1</w:t>
            </w:r>
          </w:p>
        </w:tc>
        <w:tc>
          <w:tcPr>
            <w:tcW w:w="1275"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5 196,5</w:t>
            </w:r>
          </w:p>
        </w:tc>
      </w:tr>
      <w:tr w:rsidR="00730618" w:rsidRPr="00730618" w:rsidTr="00730618">
        <w:trPr>
          <w:trHeight w:val="255"/>
          <w:jc w:val="center"/>
        </w:trPr>
        <w:tc>
          <w:tcPr>
            <w:tcW w:w="2835" w:type="dxa"/>
            <w:tcBorders>
              <w:top w:val="nil"/>
              <w:left w:val="single" w:sz="4" w:space="0" w:color="auto"/>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в сопоставимых ценах</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w:t>
            </w:r>
          </w:p>
        </w:tc>
        <w:tc>
          <w:tcPr>
            <w:tcW w:w="1275"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96,9</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105,3</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100,0</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100,3</w:t>
            </w:r>
          </w:p>
        </w:tc>
        <w:tc>
          <w:tcPr>
            <w:tcW w:w="1275"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100,5</w:t>
            </w:r>
          </w:p>
        </w:tc>
      </w:tr>
      <w:tr w:rsidR="00730618" w:rsidRPr="00730618" w:rsidTr="00730618">
        <w:trPr>
          <w:trHeight w:val="255"/>
          <w:jc w:val="center"/>
        </w:trPr>
        <w:tc>
          <w:tcPr>
            <w:tcW w:w="2835" w:type="dxa"/>
            <w:tcBorders>
              <w:top w:val="nil"/>
              <w:left w:val="single" w:sz="4" w:space="0" w:color="auto"/>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 </w:t>
            </w:r>
          </w:p>
        </w:tc>
        <w:tc>
          <w:tcPr>
            <w:tcW w:w="1275"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5"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r>
      <w:tr w:rsidR="00730618" w:rsidRPr="00730618" w:rsidTr="00730618">
        <w:trPr>
          <w:trHeight w:val="300"/>
          <w:jc w:val="center"/>
        </w:trPr>
        <w:tc>
          <w:tcPr>
            <w:tcW w:w="2835" w:type="dxa"/>
            <w:tcBorders>
              <w:top w:val="nil"/>
              <w:left w:val="single" w:sz="4" w:space="0" w:color="auto"/>
              <w:bottom w:val="single" w:sz="4" w:space="0" w:color="auto"/>
              <w:right w:val="single" w:sz="4" w:space="0" w:color="auto"/>
            </w:tcBorders>
            <w:vAlign w:val="center"/>
            <w:hideMark/>
          </w:tcPr>
          <w:p w:rsidR="00730618" w:rsidRPr="00730618" w:rsidRDefault="00730618" w:rsidP="006249E2">
            <w:pPr>
              <w:ind w:right="-286"/>
              <w:jc w:val="center"/>
              <w:rPr>
                <w:b/>
                <w:bCs/>
                <w:i/>
                <w:iCs/>
                <w:color w:val="000000" w:themeColor="text1"/>
                <w:sz w:val="20"/>
                <w:szCs w:val="20"/>
              </w:rPr>
            </w:pPr>
            <w:r w:rsidRPr="00730618">
              <w:rPr>
                <w:b/>
                <w:bCs/>
                <w:i/>
                <w:iCs/>
                <w:color w:val="000000" w:themeColor="text1"/>
                <w:sz w:val="20"/>
                <w:szCs w:val="20"/>
              </w:rPr>
              <w:t xml:space="preserve">в </w:t>
            </w:r>
            <w:proofErr w:type="spellStart"/>
            <w:r w:rsidRPr="00730618">
              <w:rPr>
                <w:b/>
                <w:bCs/>
                <w:i/>
                <w:iCs/>
                <w:color w:val="000000" w:themeColor="text1"/>
                <w:sz w:val="20"/>
                <w:szCs w:val="20"/>
              </w:rPr>
              <w:t>т.ч</w:t>
            </w:r>
            <w:proofErr w:type="spellEnd"/>
            <w:r w:rsidRPr="00730618">
              <w:rPr>
                <w:b/>
                <w:bCs/>
                <w:i/>
                <w:iCs/>
                <w:color w:val="000000" w:themeColor="text1"/>
                <w:sz w:val="20"/>
                <w:szCs w:val="20"/>
              </w:rPr>
              <w:t>. обрабатывающие производства</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 </w:t>
            </w:r>
          </w:p>
        </w:tc>
        <w:tc>
          <w:tcPr>
            <w:tcW w:w="1275"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5"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r>
      <w:tr w:rsidR="00730618" w:rsidRPr="00730618" w:rsidTr="00730618">
        <w:trPr>
          <w:trHeight w:val="255"/>
          <w:jc w:val="center"/>
        </w:trPr>
        <w:tc>
          <w:tcPr>
            <w:tcW w:w="2835" w:type="dxa"/>
            <w:tcBorders>
              <w:top w:val="nil"/>
              <w:left w:val="single" w:sz="4" w:space="0" w:color="auto"/>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в действующих ценах</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proofErr w:type="spellStart"/>
            <w:r w:rsidRPr="00730618">
              <w:rPr>
                <w:color w:val="000000" w:themeColor="text1"/>
                <w:sz w:val="20"/>
                <w:szCs w:val="20"/>
              </w:rPr>
              <w:t>млн</w:t>
            </w:r>
            <w:proofErr w:type="gramStart"/>
            <w:r w:rsidRPr="00730618">
              <w:rPr>
                <w:color w:val="000000" w:themeColor="text1"/>
                <w:sz w:val="20"/>
                <w:szCs w:val="20"/>
              </w:rPr>
              <w:t>.р</w:t>
            </w:r>
            <w:proofErr w:type="gramEnd"/>
            <w:r w:rsidRPr="00730618">
              <w:rPr>
                <w:color w:val="000000" w:themeColor="text1"/>
                <w:sz w:val="20"/>
                <w:szCs w:val="20"/>
              </w:rPr>
              <w:t>уб</w:t>
            </w:r>
            <w:proofErr w:type="spellEnd"/>
            <w:r w:rsidRPr="00730618">
              <w:rPr>
                <w:color w:val="000000" w:themeColor="text1"/>
                <w:sz w:val="20"/>
                <w:szCs w:val="20"/>
              </w:rPr>
              <w:t>.</w:t>
            </w:r>
          </w:p>
        </w:tc>
        <w:tc>
          <w:tcPr>
            <w:tcW w:w="1275"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2 986,4</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3 297,7</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3 413,1</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2 542,8</w:t>
            </w:r>
          </w:p>
        </w:tc>
        <w:tc>
          <w:tcPr>
            <w:tcW w:w="1275"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3 684,5</w:t>
            </w:r>
          </w:p>
        </w:tc>
      </w:tr>
      <w:tr w:rsidR="00730618" w:rsidRPr="00730618" w:rsidTr="00730618">
        <w:trPr>
          <w:trHeight w:val="255"/>
          <w:jc w:val="center"/>
        </w:trPr>
        <w:tc>
          <w:tcPr>
            <w:tcW w:w="2835" w:type="dxa"/>
            <w:tcBorders>
              <w:top w:val="nil"/>
              <w:left w:val="single" w:sz="4" w:space="0" w:color="auto"/>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в сопоставимых ценах</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w:t>
            </w:r>
          </w:p>
        </w:tc>
        <w:tc>
          <w:tcPr>
            <w:tcW w:w="1275"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91,9</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105,7</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100,0</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100,0</w:t>
            </w:r>
          </w:p>
        </w:tc>
        <w:tc>
          <w:tcPr>
            <w:tcW w:w="1275"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100,0</w:t>
            </w:r>
          </w:p>
        </w:tc>
      </w:tr>
      <w:tr w:rsidR="00730618" w:rsidRPr="00730618" w:rsidTr="00730618">
        <w:trPr>
          <w:trHeight w:val="255"/>
          <w:jc w:val="center"/>
        </w:trPr>
        <w:tc>
          <w:tcPr>
            <w:tcW w:w="2835" w:type="dxa"/>
            <w:tcBorders>
              <w:top w:val="nil"/>
              <w:left w:val="single" w:sz="4" w:space="0" w:color="auto"/>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 </w:t>
            </w:r>
          </w:p>
        </w:tc>
        <w:tc>
          <w:tcPr>
            <w:tcW w:w="1275"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5"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r>
      <w:tr w:rsidR="00730618" w:rsidRPr="00730618" w:rsidTr="00730618">
        <w:trPr>
          <w:trHeight w:val="1155"/>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730618" w:rsidRPr="00730618" w:rsidRDefault="00730618" w:rsidP="006249E2">
            <w:pPr>
              <w:ind w:right="-286"/>
              <w:rPr>
                <w:b/>
                <w:bCs/>
                <w:color w:val="000000" w:themeColor="text1"/>
                <w:sz w:val="20"/>
                <w:szCs w:val="20"/>
              </w:rPr>
            </w:pPr>
            <w:r w:rsidRPr="00730618">
              <w:rPr>
                <w:b/>
                <w:bCs/>
                <w:color w:val="000000" w:themeColor="text1"/>
                <w:sz w:val="20"/>
                <w:szCs w:val="20"/>
              </w:rPr>
              <w:t>3. Валовая продукция сельского хозяйства (хозяйства всех категорий: сельскохозяйственные предприятия, хозяйства населения, КФХ)</w:t>
            </w:r>
          </w:p>
        </w:tc>
        <w:tc>
          <w:tcPr>
            <w:tcW w:w="1276"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 </w:t>
            </w:r>
          </w:p>
        </w:tc>
        <w:tc>
          <w:tcPr>
            <w:tcW w:w="1275"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6"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6"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6"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5"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r>
      <w:tr w:rsidR="00730618" w:rsidRPr="00730618" w:rsidTr="00730618">
        <w:trPr>
          <w:trHeight w:val="255"/>
          <w:jc w:val="center"/>
        </w:trPr>
        <w:tc>
          <w:tcPr>
            <w:tcW w:w="2835" w:type="dxa"/>
            <w:tcBorders>
              <w:top w:val="single" w:sz="4" w:space="0" w:color="auto"/>
              <w:left w:val="single" w:sz="4" w:space="0" w:color="auto"/>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в действующих ценах</w:t>
            </w:r>
          </w:p>
        </w:tc>
        <w:tc>
          <w:tcPr>
            <w:tcW w:w="1276"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proofErr w:type="spellStart"/>
            <w:r w:rsidRPr="00730618">
              <w:rPr>
                <w:color w:val="000000" w:themeColor="text1"/>
                <w:sz w:val="20"/>
                <w:szCs w:val="20"/>
              </w:rPr>
              <w:t>млн</w:t>
            </w:r>
            <w:proofErr w:type="gramStart"/>
            <w:r w:rsidRPr="00730618">
              <w:rPr>
                <w:color w:val="000000" w:themeColor="text1"/>
                <w:sz w:val="20"/>
                <w:szCs w:val="20"/>
              </w:rPr>
              <w:t>.р</w:t>
            </w:r>
            <w:proofErr w:type="gramEnd"/>
            <w:r w:rsidRPr="00730618">
              <w:rPr>
                <w:color w:val="000000" w:themeColor="text1"/>
                <w:sz w:val="20"/>
                <w:szCs w:val="20"/>
              </w:rPr>
              <w:t>уб</w:t>
            </w:r>
            <w:proofErr w:type="spellEnd"/>
            <w:r w:rsidRPr="00730618">
              <w:rPr>
                <w:color w:val="000000" w:themeColor="text1"/>
                <w:sz w:val="20"/>
                <w:szCs w:val="20"/>
              </w:rPr>
              <w:t>.</w:t>
            </w:r>
          </w:p>
        </w:tc>
        <w:tc>
          <w:tcPr>
            <w:tcW w:w="1275"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561,0</w:t>
            </w:r>
          </w:p>
        </w:tc>
        <w:tc>
          <w:tcPr>
            <w:tcW w:w="1276"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598,0</w:t>
            </w:r>
          </w:p>
        </w:tc>
        <w:tc>
          <w:tcPr>
            <w:tcW w:w="1276"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625,5</w:t>
            </w:r>
          </w:p>
        </w:tc>
        <w:tc>
          <w:tcPr>
            <w:tcW w:w="1276"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653,0</w:t>
            </w:r>
          </w:p>
        </w:tc>
        <w:tc>
          <w:tcPr>
            <w:tcW w:w="1275"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683,1</w:t>
            </w:r>
          </w:p>
        </w:tc>
      </w:tr>
      <w:tr w:rsidR="00730618" w:rsidRPr="00730618" w:rsidTr="00730618">
        <w:trPr>
          <w:trHeight w:val="255"/>
          <w:jc w:val="center"/>
        </w:trPr>
        <w:tc>
          <w:tcPr>
            <w:tcW w:w="2835" w:type="dxa"/>
            <w:tcBorders>
              <w:top w:val="nil"/>
              <w:left w:val="single" w:sz="4" w:space="0" w:color="auto"/>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в сопоставимых ценах</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w:t>
            </w:r>
          </w:p>
        </w:tc>
        <w:tc>
          <w:tcPr>
            <w:tcW w:w="1275"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101,0</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101,7</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101,4</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101,0</w:t>
            </w:r>
          </w:p>
        </w:tc>
        <w:tc>
          <w:tcPr>
            <w:tcW w:w="1275"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101,0</w:t>
            </w:r>
          </w:p>
        </w:tc>
      </w:tr>
      <w:tr w:rsidR="00730618" w:rsidRPr="00730618" w:rsidTr="00730618">
        <w:trPr>
          <w:trHeight w:val="255"/>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730618" w:rsidRPr="00730618" w:rsidRDefault="00730618" w:rsidP="006249E2">
            <w:pPr>
              <w:ind w:right="-286"/>
              <w:rPr>
                <w:b/>
                <w:bCs/>
                <w:color w:val="000000" w:themeColor="text1"/>
                <w:sz w:val="20"/>
                <w:szCs w:val="20"/>
              </w:rPr>
            </w:pPr>
            <w:r w:rsidRPr="00730618">
              <w:rPr>
                <w:b/>
                <w:bCs/>
                <w:color w:val="000000" w:themeColor="text1"/>
                <w:sz w:val="20"/>
                <w:szCs w:val="20"/>
              </w:rPr>
              <w:t> </w:t>
            </w:r>
          </w:p>
        </w:tc>
        <w:tc>
          <w:tcPr>
            <w:tcW w:w="1276"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 </w:t>
            </w:r>
          </w:p>
        </w:tc>
        <w:tc>
          <w:tcPr>
            <w:tcW w:w="1275"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6"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6"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6"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5"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r>
      <w:tr w:rsidR="00730618" w:rsidRPr="00730618" w:rsidTr="00730618">
        <w:trPr>
          <w:trHeight w:val="765"/>
          <w:jc w:val="center"/>
        </w:trPr>
        <w:tc>
          <w:tcPr>
            <w:tcW w:w="2835" w:type="dxa"/>
            <w:tcBorders>
              <w:top w:val="nil"/>
              <w:left w:val="single" w:sz="4" w:space="0" w:color="auto"/>
              <w:bottom w:val="single" w:sz="4" w:space="0" w:color="auto"/>
              <w:right w:val="single" w:sz="4" w:space="0" w:color="auto"/>
            </w:tcBorders>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в том числе валовая продукция сельского хозяйства по сельскохозяйственным предприятиям</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 </w:t>
            </w:r>
          </w:p>
        </w:tc>
        <w:tc>
          <w:tcPr>
            <w:tcW w:w="1275"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5"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r>
      <w:tr w:rsidR="00730618" w:rsidRPr="00730618" w:rsidTr="00730618">
        <w:trPr>
          <w:trHeight w:val="255"/>
          <w:jc w:val="center"/>
        </w:trPr>
        <w:tc>
          <w:tcPr>
            <w:tcW w:w="2835" w:type="dxa"/>
            <w:tcBorders>
              <w:top w:val="nil"/>
              <w:left w:val="single" w:sz="4" w:space="0" w:color="auto"/>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в действующих ценах</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proofErr w:type="spellStart"/>
            <w:r w:rsidRPr="00730618">
              <w:rPr>
                <w:color w:val="000000" w:themeColor="text1"/>
                <w:sz w:val="20"/>
                <w:szCs w:val="20"/>
              </w:rPr>
              <w:t>млн</w:t>
            </w:r>
            <w:proofErr w:type="gramStart"/>
            <w:r w:rsidRPr="00730618">
              <w:rPr>
                <w:color w:val="000000" w:themeColor="text1"/>
                <w:sz w:val="20"/>
                <w:szCs w:val="20"/>
              </w:rPr>
              <w:t>.р</w:t>
            </w:r>
            <w:proofErr w:type="gramEnd"/>
            <w:r w:rsidRPr="00730618">
              <w:rPr>
                <w:color w:val="000000" w:themeColor="text1"/>
                <w:sz w:val="20"/>
                <w:szCs w:val="20"/>
              </w:rPr>
              <w:t>уб</w:t>
            </w:r>
            <w:proofErr w:type="spellEnd"/>
            <w:r w:rsidRPr="00730618">
              <w:rPr>
                <w:color w:val="000000" w:themeColor="text1"/>
                <w:sz w:val="20"/>
                <w:szCs w:val="20"/>
              </w:rPr>
              <w:t>.</w:t>
            </w:r>
          </w:p>
        </w:tc>
        <w:tc>
          <w:tcPr>
            <w:tcW w:w="1275"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268,0</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287,3</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305,4</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325,3</w:t>
            </w:r>
          </w:p>
        </w:tc>
        <w:tc>
          <w:tcPr>
            <w:tcW w:w="1275"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344,1</w:t>
            </w:r>
          </w:p>
        </w:tc>
      </w:tr>
      <w:tr w:rsidR="00730618" w:rsidRPr="00730618" w:rsidTr="00730618">
        <w:trPr>
          <w:trHeight w:val="255"/>
          <w:jc w:val="center"/>
        </w:trPr>
        <w:tc>
          <w:tcPr>
            <w:tcW w:w="2835" w:type="dxa"/>
            <w:tcBorders>
              <w:top w:val="nil"/>
              <w:left w:val="single" w:sz="4" w:space="0" w:color="auto"/>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в действующих ценах</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w:t>
            </w:r>
          </w:p>
        </w:tc>
        <w:tc>
          <w:tcPr>
            <w:tcW w:w="1275"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105,1</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102,3</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103,0</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103,0</w:t>
            </w:r>
          </w:p>
        </w:tc>
        <w:tc>
          <w:tcPr>
            <w:tcW w:w="1275"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102,1</w:t>
            </w:r>
          </w:p>
        </w:tc>
      </w:tr>
      <w:tr w:rsidR="00730618" w:rsidRPr="00730618" w:rsidTr="00730618">
        <w:trPr>
          <w:trHeight w:val="255"/>
          <w:jc w:val="center"/>
        </w:trPr>
        <w:tc>
          <w:tcPr>
            <w:tcW w:w="2835" w:type="dxa"/>
            <w:tcBorders>
              <w:top w:val="nil"/>
              <w:left w:val="single" w:sz="4" w:space="0" w:color="auto"/>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 </w:t>
            </w:r>
          </w:p>
        </w:tc>
        <w:tc>
          <w:tcPr>
            <w:tcW w:w="1275"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5"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r>
      <w:tr w:rsidR="00730618" w:rsidRPr="00730618" w:rsidTr="00730618">
        <w:trPr>
          <w:trHeight w:val="915"/>
          <w:jc w:val="center"/>
        </w:trPr>
        <w:tc>
          <w:tcPr>
            <w:tcW w:w="2835" w:type="dxa"/>
            <w:tcBorders>
              <w:top w:val="nil"/>
              <w:left w:val="single" w:sz="4" w:space="0" w:color="auto"/>
              <w:bottom w:val="single" w:sz="4" w:space="0" w:color="auto"/>
              <w:right w:val="single" w:sz="4" w:space="0" w:color="auto"/>
            </w:tcBorders>
            <w:vAlign w:val="center"/>
            <w:hideMark/>
          </w:tcPr>
          <w:p w:rsidR="00730618" w:rsidRPr="00730618" w:rsidRDefault="00730618" w:rsidP="006249E2">
            <w:pPr>
              <w:ind w:right="-286"/>
              <w:rPr>
                <w:b/>
                <w:bCs/>
                <w:color w:val="000000" w:themeColor="text1"/>
                <w:sz w:val="20"/>
                <w:szCs w:val="20"/>
              </w:rPr>
            </w:pPr>
            <w:r w:rsidRPr="00730618">
              <w:rPr>
                <w:b/>
                <w:bCs/>
                <w:color w:val="000000" w:themeColor="text1"/>
                <w:sz w:val="20"/>
                <w:szCs w:val="20"/>
              </w:rPr>
              <w:t xml:space="preserve">4.Численность работников по территории, формирующих ФОТ </w:t>
            </w:r>
          </w:p>
        </w:tc>
        <w:tc>
          <w:tcPr>
            <w:tcW w:w="1276" w:type="dxa"/>
            <w:tcBorders>
              <w:top w:val="nil"/>
              <w:left w:val="nil"/>
              <w:bottom w:val="single" w:sz="4" w:space="0" w:color="auto"/>
              <w:right w:val="single" w:sz="4" w:space="0" w:color="auto"/>
            </w:tcBorders>
            <w:shd w:val="clear" w:color="auto" w:fill="FFFFFF"/>
            <w:vAlign w:val="center"/>
            <w:hideMark/>
          </w:tcPr>
          <w:p w:rsidR="00730618" w:rsidRPr="00730618" w:rsidRDefault="00730618" w:rsidP="006249E2">
            <w:pPr>
              <w:ind w:right="-286"/>
              <w:jc w:val="center"/>
              <w:rPr>
                <w:color w:val="000000" w:themeColor="text1"/>
                <w:sz w:val="20"/>
                <w:szCs w:val="20"/>
              </w:rPr>
            </w:pPr>
            <w:proofErr w:type="spellStart"/>
            <w:r w:rsidRPr="00730618">
              <w:rPr>
                <w:color w:val="000000" w:themeColor="text1"/>
                <w:sz w:val="20"/>
                <w:szCs w:val="20"/>
              </w:rPr>
              <w:t>тыс</w:t>
            </w:r>
            <w:proofErr w:type="gramStart"/>
            <w:r w:rsidRPr="00730618">
              <w:rPr>
                <w:color w:val="000000" w:themeColor="text1"/>
                <w:sz w:val="20"/>
                <w:szCs w:val="20"/>
              </w:rPr>
              <w:t>.ч</w:t>
            </w:r>
            <w:proofErr w:type="gramEnd"/>
            <w:r w:rsidRPr="00730618">
              <w:rPr>
                <w:color w:val="000000" w:themeColor="text1"/>
                <w:sz w:val="20"/>
                <w:szCs w:val="20"/>
              </w:rPr>
              <w:t>ел</w:t>
            </w:r>
            <w:proofErr w:type="spellEnd"/>
            <w:r w:rsidRPr="00730618">
              <w:rPr>
                <w:color w:val="000000" w:themeColor="text1"/>
                <w:sz w:val="20"/>
                <w:szCs w:val="20"/>
              </w:rPr>
              <w:t>.</w:t>
            </w:r>
          </w:p>
        </w:tc>
        <w:tc>
          <w:tcPr>
            <w:tcW w:w="1275"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11,251</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10,977</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10,977</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10,977</w:t>
            </w:r>
          </w:p>
        </w:tc>
        <w:tc>
          <w:tcPr>
            <w:tcW w:w="1275"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10,977</w:t>
            </w:r>
          </w:p>
        </w:tc>
      </w:tr>
      <w:tr w:rsidR="00730618" w:rsidRPr="00730618" w:rsidTr="00730618">
        <w:trPr>
          <w:trHeight w:val="930"/>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730618" w:rsidRPr="00730618" w:rsidRDefault="00730618" w:rsidP="006249E2">
            <w:pPr>
              <w:ind w:right="-286"/>
              <w:rPr>
                <w:b/>
                <w:bCs/>
                <w:color w:val="000000" w:themeColor="text1"/>
                <w:sz w:val="20"/>
                <w:szCs w:val="20"/>
              </w:rPr>
            </w:pPr>
            <w:r w:rsidRPr="00730618">
              <w:rPr>
                <w:b/>
                <w:bCs/>
                <w:color w:val="000000" w:themeColor="text1"/>
                <w:sz w:val="20"/>
                <w:szCs w:val="20"/>
              </w:rPr>
              <w:lastRenderedPageBreak/>
              <w:t xml:space="preserve">5.Фонд заработной платы, всего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млн. руб.</w:t>
            </w:r>
          </w:p>
        </w:tc>
        <w:tc>
          <w:tcPr>
            <w:tcW w:w="1275"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2 613,3</w:t>
            </w:r>
          </w:p>
        </w:tc>
        <w:tc>
          <w:tcPr>
            <w:tcW w:w="1276"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2 759,9</w:t>
            </w:r>
          </w:p>
        </w:tc>
        <w:tc>
          <w:tcPr>
            <w:tcW w:w="1276"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2 925,9</w:t>
            </w:r>
          </w:p>
        </w:tc>
        <w:tc>
          <w:tcPr>
            <w:tcW w:w="1276"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3 139,5</w:t>
            </w:r>
          </w:p>
        </w:tc>
        <w:tc>
          <w:tcPr>
            <w:tcW w:w="1275"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3 368,6</w:t>
            </w:r>
          </w:p>
        </w:tc>
      </w:tr>
      <w:tr w:rsidR="00730618" w:rsidRPr="00730618" w:rsidTr="00730618">
        <w:trPr>
          <w:trHeight w:val="750"/>
          <w:jc w:val="center"/>
        </w:trPr>
        <w:tc>
          <w:tcPr>
            <w:tcW w:w="2835" w:type="dxa"/>
            <w:tcBorders>
              <w:top w:val="nil"/>
              <w:left w:val="single" w:sz="4" w:space="0" w:color="auto"/>
              <w:bottom w:val="single" w:sz="4" w:space="0" w:color="auto"/>
              <w:right w:val="single" w:sz="4" w:space="0" w:color="auto"/>
            </w:tcBorders>
            <w:vAlign w:val="center"/>
            <w:hideMark/>
          </w:tcPr>
          <w:p w:rsidR="00730618" w:rsidRPr="00730618" w:rsidRDefault="00730618" w:rsidP="006249E2">
            <w:pPr>
              <w:ind w:right="-286"/>
              <w:rPr>
                <w:b/>
                <w:bCs/>
                <w:color w:val="000000" w:themeColor="text1"/>
                <w:sz w:val="20"/>
                <w:szCs w:val="20"/>
              </w:rPr>
            </w:pPr>
            <w:r w:rsidRPr="00730618">
              <w:rPr>
                <w:b/>
                <w:bCs/>
                <w:color w:val="000000" w:themeColor="text1"/>
                <w:sz w:val="20"/>
                <w:szCs w:val="20"/>
              </w:rPr>
              <w:t>6. Реальная заработная плата (всего по округу)</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w:t>
            </w:r>
          </w:p>
        </w:tc>
        <w:tc>
          <w:tcPr>
            <w:tcW w:w="1275"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104,9</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103,1</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101,9</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103,2</w:t>
            </w:r>
          </w:p>
        </w:tc>
        <w:tc>
          <w:tcPr>
            <w:tcW w:w="1275"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103,2</w:t>
            </w:r>
          </w:p>
        </w:tc>
      </w:tr>
      <w:tr w:rsidR="00730618" w:rsidRPr="00730618" w:rsidTr="00730618">
        <w:trPr>
          <w:trHeight w:val="255"/>
          <w:jc w:val="center"/>
        </w:trPr>
        <w:tc>
          <w:tcPr>
            <w:tcW w:w="2835" w:type="dxa"/>
            <w:tcBorders>
              <w:top w:val="nil"/>
              <w:left w:val="single" w:sz="4" w:space="0" w:color="auto"/>
              <w:bottom w:val="single" w:sz="4" w:space="0" w:color="auto"/>
              <w:right w:val="single" w:sz="4" w:space="0" w:color="auto"/>
            </w:tcBorders>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 </w:t>
            </w:r>
          </w:p>
        </w:tc>
        <w:tc>
          <w:tcPr>
            <w:tcW w:w="1275"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right"/>
              <w:rPr>
                <w:color w:val="000000" w:themeColor="text1"/>
                <w:sz w:val="20"/>
                <w:szCs w:val="20"/>
              </w:rPr>
            </w:pPr>
            <w:r w:rsidRPr="00730618">
              <w:rPr>
                <w:color w:val="000000" w:themeColor="text1"/>
                <w:sz w:val="20"/>
                <w:szCs w:val="20"/>
              </w:rPr>
              <w:t> </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5"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r>
      <w:tr w:rsidR="00730618" w:rsidRPr="00730618" w:rsidTr="00730618">
        <w:trPr>
          <w:trHeight w:val="510"/>
          <w:jc w:val="center"/>
        </w:trPr>
        <w:tc>
          <w:tcPr>
            <w:tcW w:w="2835" w:type="dxa"/>
            <w:tcBorders>
              <w:top w:val="nil"/>
              <w:left w:val="single" w:sz="4" w:space="0" w:color="auto"/>
              <w:bottom w:val="single" w:sz="4" w:space="0" w:color="auto"/>
              <w:right w:val="single" w:sz="4" w:space="0" w:color="auto"/>
            </w:tcBorders>
            <w:vAlign w:val="center"/>
            <w:hideMark/>
          </w:tcPr>
          <w:p w:rsidR="00730618" w:rsidRPr="00730618" w:rsidRDefault="00730618" w:rsidP="006249E2">
            <w:pPr>
              <w:ind w:right="-286"/>
              <w:rPr>
                <w:b/>
                <w:bCs/>
                <w:color w:val="000000" w:themeColor="text1"/>
                <w:sz w:val="20"/>
                <w:szCs w:val="20"/>
              </w:rPr>
            </w:pPr>
            <w:r w:rsidRPr="00730618">
              <w:rPr>
                <w:b/>
                <w:bCs/>
                <w:color w:val="000000" w:themeColor="text1"/>
                <w:sz w:val="20"/>
                <w:szCs w:val="20"/>
              </w:rPr>
              <w:t xml:space="preserve">7. Прибыль прибыльных организаций по кругу крупных и средних организаций </w:t>
            </w:r>
          </w:p>
        </w:tc>
        <w:tc>
          <w:tcPr>
            <w:tcW w:w="1276" w:type="dxa"/>
            <w:tcBorders>
              <w:top w:val="nil"/>
              <w:left w:val="nil"/>
              <w:bottom w:val="single" w:sz="4" w:space="0" w:color="auto"/>
              <w:right w:val="single" w:sz="4" w:space="0" w:color="auto"/>
            </w:tcBorders>
            <w:shd w:val="clear" w:color="auto" w:fill="FFFFFF"/>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млн. руб.</w:t>
            </w:r>
          </w:p>
        </w:tc>
        <w:tc>
          <w:tcPr>
            <w:tcW w:w="1275"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148,6</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100,0</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102,1</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104,7</w:t>
            </w:r>
          </w:p>
        </w:tc>
        <w:tc>
          <w:tcPr>
            <w:tcW w:w="1275"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107,4</w:t>
            </w:r>
          </w:p>
        </w:tc>
      </w:tr>
      <w:tr w:rsidR="00730618" w:rsidRPr="00730618" w:rsidTr="00730618">
        <w:trPr>
          <w:trHeight w:val="255"/>
          <w:jc w:val="center"/>
        </w:trPr>
        <w:tc>
          <w:tcPr>
            <w:tcW w:w="2835" w:type="dxa"/>
            <w:tcBorders>
              <w:top w:val="nil"/>
              <w:left w:val="single" w:sz="4" w:space="0" w:color="auto"/>
              <w:bottom w:val="single" w:sz="4" w:space="0" w:color="auto"/>
              <w:right w:val="single" w:sz="4" w:space="0" w:color="auto"/>
            </w:tcBorders>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6" w:type="dxa"/>
            <w:tcBorders>
              <w:top w:val="nil"/>
              <w:left w:val="nil"/>
              <w:bottom w:val="single" w:sz="4" w:space="0" w:color="auto"/>
              <w:right w:val="single" w:sz="4" w:space="0" w:color="auto"/>
            </w:tcBorders>
            <w:shd w:val="clear" w:color="auto" w:fill="FFFFFF"/>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 </w:t>
            </w:r>
          </w:p>
        </w:tc>
        <w:tc>
          <w:tcPr>
            <w:tcW w:w="1275"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jc w:val="right"/>
              <w:rPr>
                <w:color w:val="000000" w:themeColor="text1"/>
                <w:sz w:val="20"/>
                <w:szCs w:val="20"/>
              </w:rPr>
            </w:pPr>
            <w:r w:rsidRPr="00730618">
              <w:rPr>
                <w:color w:val="000000" w:themeColor="text1"/>
                <w:sz w:val="20"/>
                <w:szCs w:val="20"/>
              </w:rPr>
              <w:t> </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6"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c>
          <w:tcPr>
            <w:tcW w:w="1275" w:type="dxa"/>
            <w:tcBorders>
              <w:top w:val="nil"/>
              <w:left w:val="nil"/>
              <w:bottom w:val="single" w:sz="4" w:space="0" w:color="auto"/>
              <w:right w:val="single" w:sz="4" w:space="0" w:color="auto"/>
            </w:tcBorders>
            <w:noWrap/>
            <w:vAlign w:val="center"/>
            <w:hideMark/>
          </w:tcPr>
          <w:p w:rsidR="00730618" w:rsidRPr="00730618" w:rsidRDefault="00730618" w:rsidP="006249E2">
            <w:pPr>
              <w:ind w:right="-286"/>
              <w:rPr>
                <w:color w:val="000000" w:themeColor="text1"/>
                <w:sz w:val="20"/>
                <w:szCs w:val="20"/>
              </w:rPr>
            </w:pPr>
            <w:r w:rsidRPr="00730618">
              <w:rPr>
                <w:color w:val="000000" w:themeColor="text1"/>
                <w:sz w:val="20"/>
                <w:szCs w:val="20"/>
              </w:rPr>
              <w:t> </w:t>
            </w:r>
          </w:p>
        </w:tc>
      </w:tr>
      <w:tr w:rsidR="00730618" w:rsidRPr="00730618" w:rsidTr="00730618">
        <w:trPr>
          <w:trHeight w:val="465"/>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730618" w:rsidRPr="00730618" w:rsidRDefault="00730618" w:rsidP="006249E2">
            <w:pPr>
              <w:ind w:right="-286"/>
              <w:rPr>
                <w:bCs/>
                <w:i/>
                <w:color w:val="000000" w:themeColor="text1"/>
                <w:sz w:val="20"/>
                <w:szCs w:val="20"/>
              </w:rPr>
            </w:pPr>
            <w:r w:rsidRPr="00730618">
              <w:rPr>
                <w:bCs/>
                <w:i/>
                <w:color w:val="000000" w:themeColor="text1"/>
                <w:sz w:val="20"/>
                <w:szCs w:val="20"/>
              </w:rPr>
              <w:t xml:space="preserve">8. Объем инвестиций в основной капитал (по полному кругу предприятий) </w:t>
            </w:r>
          </w:p>
        </w:tc>
        <w:tc>
          <w:tcPr>
            <w:tcW w:w="1276" w:type="dxa"/>
            <w:tcBorders>
              <w:top w:val="single" w:sz="4" w:space="0" w:color="auto"/>
              <w:left w:val="nil"/>
              <w:bottom w:val="single" w:sz="4" w:space="0" w:color="auto"/>
              <w:right w:val="single" w:sz="4" w:space="0" w:color="auto"/>
            </w:tcBorders>
            <w:vAlign w:val="center"/>
            <w:hideMark/>
          </w:tcPr>
          <w:p w:rsidR="00730618" w:rsidRPr="00730618" w:rsidRDefault="00730618" w:rsidP="006249E2">
            <w:pPr>
              <w:ind w:right="-286"/>
              <w:rPr>
                <w:color w:val="000000" w:themeColor="text1"/>
                <w:sz w:val="20"/>
                <w:szCs w:val="20"/>
              </w:rPr>
            </w:pPr>
          </w:p>
        </w:tc>
        <w:tc>
          <w:tcPr>
            <w:tcW w:w="1275" w:type="dxa"/>
            <w:tcBorders>
              <w:top w:val="single" w:sz="4" w:space="0" w:color="auto"/>
              <w:left w:val="nil"/>
              <w:bottom w:val="single" w:sz="4" w:space="0" w:color="auto"/>
              <w:right w:val="single" w:sz="4" w:space="0" w:color="auto"/>
            </w:tcBorders>
            <w:noWrap/>
            <w:vAlign w:val="center"/>
          </w:tcPr>
          <w:p w:rsidR="00730618" w:rsidRPr="00730618" w:rsidRDefault="00730618" w:rsidP="006249E2">
            <w:pPr>
              <w:ind w:right="-286"/>
              <w:jc w:val="right"/>
              <w:rPr>
                <w:color w:val="000000" w:themeColor="text1"/>
                <w:sz w:val="20"/>
                <w:szCs w:val="20"/>
              </w:rPr>
            </w:pPr>
          </w:p>
        </w:tc>
        <w:tc>
          <w:tcPr>
            <w:tcW w:w="1276" w:type="dxa"/>
            <w:tcBorders>
              <w:top w:val="single" w:sz="4" w:space="0" w:color="auto"/>
              <w:left w:val="nil"/>
              <w:bottom w:val="single" w:sz="4" w:space="0" w:color="auto"/>
              <w:right w:val="single" w:sz="4" w:space="0" w:color="auto"/>
            </w:tcBorders>
            <w:noWrap/>
            <w:vAlign w:val="center"/>
          </w:tcPr>
          <w:p w:rsidR="00730618" w:rsidRPr="00730618" w:rsidRDefault="00730618" w:rsidP="006249E2">
            <w:pPr>
              <w:ind w:right="-286"/>
              <w:jc w:val="right"/>
              <w:rPr>
                <w:color w:val="000000" w:themeColor="text1"/>
                <w:sz w:val="20"/>
                <w:szCs w:val="20"/>
              </w:rPr>
            </w:pPr>
          </w:p>
        </w:tc>
        <w:tc>
          <w:tcPr>
            <w:tcW w:w="1276" w:type="dxa"/>
            <w:tcBorders>
              <w:top w:val="single" w:sz="4" w:space="0" w:color="auto"/>
              <w:left w:val="nil"/>
              <w:bottom w:val="single" w:sz="4" w:space="0" w:color="auto"/>
              <w:right w:val="single" w:sz="4" w:space="0" w:color="auto"/>
            </w:tcBorders>
            <w:noWrap/>
            <w:vAlign w:val="center"/>
          </w:tcPr>
          <w:p w:rsidR="00730618" w:rsidRPr="00730618" w:rsidRDefault="00730618" w:rsidP="006249E2">
            <w:pPr>
              <w:ind w:right="-286"/>
              <w:jc w:val="right"/>
              <w:rPr>
                <w:color w:val="000000" w:themeColor="text1"/>
                <w:sz w:val="20"/>
                <w:szCs w:val="20"/>
              </w:rPr>
            </w:pPr>
          </w:p>
        </w:tc>
        <w:tc>
          <w:tcPr>
            <w:tcW w:w="1276" w:type="dxa"/>
            <w:tcBorders>
              <w:top w:val="single" w:sz="4" w:space="0" w:color="auto"/>
              <w:left w:val="nil"/>
              <w:bottom w:val="single" w:sz="4" w:space="0" w:color="auto"/>
              <w:right w:val="single" w:sz="4" w:space="0" w:color="auto"/>
            </w:tcBorders>
            <w:noWrap/>
            <w:vAlign w:val="center"/>
          </w:tcPr>
          <w:p w:rsidR="00730618" w:rsidRPr="00730618" w:rsidRDefault="00730618" w:rsidP="006249E2">
            <w:pPr>
              <w:ind w:right="-286"/>
              <w:jc w:val="right"/>
              <w:rPr>
                <w:color w:val="000000" w:themeColor="text1"/>
                <w:sz w:val="20"/>
                <w:szCs w:val="20"/>
              </w:rPr>
            </w:pPr>
          </w:p>
        </w:tc>
        <w:tc>
          <w:tcPr>
            <w:tcW w:w="1275" w:type="dxa"/>
            <w:tcBorders>
              <w:top w:val="single" w:sz="4" w:space="0" w:color="auto"/>
              <w:left w:val="nil"/>
              <w:bottom w:val="single" w:sz="4" w:space="0" w:color="auto"/>
              <w:right w:val="single" w:sz="4" w:space="0" w:color="auto"/>
            </w:tcBorders>
            <w:noWrap/>
            <w:vAlign w:val="center"/>
          </w:tcPr>
          <w:p w:rsidR="00730618" w:rsidRPr="00730618" w:rsidRDefault="00730618" w:rsidP="006249E2">
            <w:pPr>
              <w:ind w:right="-286"/>
              <w:jc w:val="right"/>
              <w:rPr>
                <w:color w:val="000000" w:themeColor="text1"/>
                <w:sz w:val="20"/>
                <w:szCs w:val="20"/>
              </w:rPr>
            </w:pPr>
          </w:p>
        </w:tc>
      </w:tr>
      <w:tr w:rsidR="00730618" w:rsidRPr="00730618" w:rsidTr="00730618">
        <w:trPr>
          <w:trHeight w:val="255"/>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730618" w:rsidRPr="00730618" w:rsidRDefault="00730618" w:rsidP="006249E2">
            <w:pPr>
              <w:ind w:right="-286"/>
              <w:jc w:val="center"/>
              <w:rPr>
                <w:i/>
                <w:color w:val="000000" w:themeColor="text1"/>
                <w:sz w:val="20"/>
                <w:szCs w:val="20"/>
              </w:rPr>
            </w:pPr>
            <w:r w:rsidRPr="00730618">
              <w:rPr>
                <w:i/>
                <w:color w:val="000000" w:themeColor="text1"/>
                <w:sz w:val="20"/>
                <w:szCs w:val="20"/>
              </w:rPr>
              <w:t>в действующих ценах</w:t>
            </w:r>
          </w:p>
        </w:tc>
        <w:tc>
          <w:tcPr>
            <w:tcW w:w="1276" w:type="dxa"/>
            <w:tcBorders>
              <w:top w:val="single" w:sz="4" w:space="0" w:color="auto"/>
              <w:left w:val="nil"/>
              <w:bottom w:val="single" w:sz="4" w:space="0" w:color="auto"/>
              <w:right w:val="single" w:sz="4" w:space="0" w:color="auto"/>
            </w:tcBorders>
            <w:vAlign w:val="center"/>
            <w:hideMark/>
          </w:tcPr>
          <w:p w:rsidR="00730618" w:rsidRPr="00730618" w:rsidRDefault="00730618" w:rsidP="006249E2">
            <w:pPr>
              <w:ind w:right="-286"/>
              <w:jc w:val="center"/>
              <w:rPr>
                <w:i/>
                <w:color w:val="000000" w:themeColor="text1"/>
                <w:sz w:val="20"/>
                <w:szCs w:val="20"/>
              </w:rPr>
            </w:pPr>
            <w:r w:rsidRPr="00730618">
              <w:rPr>
                <w:i/>
                <w:color w:val="000000" w:themeColor="text1"/>
                <w:sz w:val="20"/>
                <w:szCs w:val="20"/>
              </w:rPr>
              <w:t>млн. руб.</w:t>
            </w:r>
          </w:p>
        </w:tc>
        <w:tc>
          <w:tcPr>
            <w:tcW w:w="1275"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251,9</w:t>
            </w:r>
          </w:p>
        </w:tc>
        <w:tc>
          <w:tcPr>
            <w:tcW w:w="1276"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300,0</w:t>
            </w:r>
          </w:p>
        </w:tc>
        <w:tc>
          <w:tcPr>
            <w:tcW w:w="1276"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350,0</w:t>
            </w:r>
          </w:p>
        </w:tc>
        <w:tc>
          <w:tcPr>
            <w:tcW w:w="1276"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390,0</w:t>
            </w:r>
          </w:p>
        </w:tc>
        <w:tc>
          <w:tcPr>
            <w:tcW w:w="1275"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420,0</w:t>
            </w:r>
          </w:p>
        </w:tc>
      </w:tr>
      <w:tr w:rsidR="00730618" w:rsidRPr="00730618" w:rsidTr="00730618">
        <w:trPr>
          <w:trHeight w:val="255"/>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730618" w:rsidRPr="00730618" w:rsidRDefault="00730618" w:rsidP="006249E2">
            <w:pPr>
              <w:ind w:right="-286"/>
              <w:jc w:val="center"/>
              <w:rPr>
                <w:i/>
                <w:color w:val="000000" w:themeColor="text1"/>
                <w:sz w:val="20"/>
                <w:szCs w:val="20"/>
              </w:rPr>
            </w:pPr>
            <w:r w:rsidRPr="00730618">
              <w:rPr>
                <w:i/>
                <w:color w:val="000000" w:themeColor="text1"/>
                <w:sz w:val="20"/>
                <w:szCs w:val="20"/>
              </w:rPr>
              <w:t>в сопоставимых ценах</w:t>
            </w:r>
          </w:p>
        </w:tc>
        <w:tc>
          <w:tcPr>
            <w:tcW w:w="1276" w:type="dxa"/>
            <w:tcBorders>
              <w:top w:val="single" w:sz="4" w:space="0" w:color="auto"/>
              <w:left w:val="nil"/>
              <w:bottom w:val="single" w:sz="4" w:space="0" w:color="auto"/>
              <w:right w:val="single" w:sz="4" w:space="0" w:color="auto"/>
            </w:tcBorders>
            <w:vAlign w:val="center"/>
            <w:hideMark/>
          </w:tcPr>
          <w:p w:rsidR="00730618" w:rsidRPr="00730618" w:rsidRDefault="00730618" w:rsidP="006249E2">
            <w:pPr>
              <w:ind w:right="-286"/>
              <w:jc w:val="center"/>
              <w:rPr>
                <w:i/>
                <w:color w:val="000000" w:themeColor="text1"/>
                <w:sz w:val="20"/>
                <w:szCs w:val="20"/>
              </w:rPr>
            </w:pPr>
            <w:r w:rsidRPr="00730618">
              <w:rPr>
                <w:i/>
                <w:color w:val="000000" w:themeColor="text1"/>
                <w:sz w:val="20"/>
                <w:szCs w:val="20"/>
              </w:rPr>
              <w:t>%</w:t>
            </w:r>
          </w:p>
        </w:tc>
        <w:tc>
          <w:tcPr>
            <w:tcW w:w="1275"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83,9</w:t>
            </w:r>
          </w:p>
        </w:tc>
        <w:tc>
          <w:tcPr>
            <w:tcW w:w="1276"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113,3</w:t>
            </w:r>
          </w:p>
        </w:tc>
        <w:tc>
          <w:tcPr>
            <w:tcW w:w="1276"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112,2</w:t>
            </w:r>
          </w:p>
        </w:tc>
        <w:tc>
          <w:tcPr>
            <w:tcW w:w="1276"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107,0</w:t>
            </w:r>
          </w:p>
        </w:tc>
        <w:tc>
          <w:tcPr>
            <w:tcW w:w="1275"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103,5</w:t>
            </w:r>
          </w:p>
        </w:tc>
      </w:tr>
      <w:tr w:rsidR="00730618" w:rsidRPr="00730618" w:rsidTr="00730618">
        <w:trPr>
          <w:trHeight w:val="255"/>
          <w:jc w:val="center"/>
        </w:trPr>
        <w:tc>
          <w:tcPr>
            <w:tcW w:w="2835" w:type="dxa"/>
            <w:tcBorders>
              <w:top w:val="single" w:sz="4" w:space="0" w:color="auto"/>
              <w:left w:val="single" w:sz="4" w:space="0" w:color="auto"/>
              <w:bottom w:val="single" w:sz="4" w:space="0" w:color="auto"/>
              <w:right w:val="single" w:sz="4" w:space="0" w:color="auto"/>
            </w:tcBorders>
            <w:vAlign w:val="center"/>
          </w:tcPr>
          <w:p w:rsidR="00730618" w:rsidRPr="00730618" w:rsidRDefault="00730618" w:rsidP="006249E2">
            <w:pPr>
              <w:ind w:right="-286"/>
              <w:rPr>
                <w:b/>
                <w:bCs/>
                <w:i/>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center"/>
          </w:tcPr>
          <w:p w:rsidR="00730618" w:rsidRPr="00730618" w:rsidRDefault="00730618" w:rsidP="006249E2">
            <w:pPr>
              <w:ind w:right="-286"/>
              <w:jc w:val="center"/>
              <w:rPr>
                <w:color w:val="000000" w:themeColor="text1"/>
                <w:sz w:val="20"/>
                <w:szCs w:val="20"/>
              </w:rPr>
            </w:pPr>
          </w:p>
        </w:tc>
        <w:tc>
          <w:tcPr>
            <w:tcW w:w="1275" w:type="dxa"/>
            <w:tcBorders>
              <w:top w:val="single" w:sz="4" w:space="0" w:color="auto"/>
              <w:left w:val="nil"/>
              <w:bottom w:val="single" w:sz="4" w:space="0" w:color="auto"/>
              <w:right w:val="single" w:sz="4" w:space="0" w:color="auto"/>
            </w:tcBorders>
            <w:noWrap/>
            <w:vAlign w:val="center"/>
          </w:tcPr>
          <w:p w:rsidR="00730618" w:rsidRPr="00730618" w:rsidRDefault="00730618" w:rsidP="006249E2">
            <w:pPr>
              <w:ind w:right="-286"/>
              <w:jc w:val="right"/>
              <w:rPr>
                <w:color w:val="000000" w:themeColor="text1"/>
                <w:sz w:val="20"/>
                <w:szCs w:val="20"/>
              </w:rPr>
            </w:pPr>
          </w:p>
        </w:tc>
        <w:tc>
          <w:tcPr>
            <w:tcW w:w="1276" w:type="dxa"/>
            <w:tcBorders>
              <w:top w:val="single" w:sz="4" w:space="0" w:color="auto"/>
              <w:left w:val="nil"/>
              <w:bottom w:val="single" w:sz="4" w:space="0" w:color="auto"/>
              <w:right w:val="single" w:sz="4" w:space="0" w:color="auto"/>
            </w:tcBorders>
            <w:noWrap/>
            <w:vAlign w:val="center"/>
          </w:tcPr>
          <w:p w:rsidR="00730618" w:rsidRPr="00730618" w:rsidRDefault="00730618" w:rsidP="006249E2">
            <w:pPr>
              <w:ind w:right="-286"/>
              <w:jc w:val="right"/>
              <w:rPr>
                <w:color w:val="000000" w:themeColor="text1"/>
                <w:sz w:val="20"/>
                <w:szCs w:val="20"/>
              </w:rPr>
            </w:pPr>
          </w:p>
        </w:tc>
        <w:tc>
          <w:tcPr>
            <w:tcW w:w="1276" w:type="dxa"/>
            <w:tcBorders>
              <w:top w:val="single" w:sz="4" w:space="0" w:color="auto"/>
              <w:left w:val="nil"/>
              <w:bottom w:val="single" w:sz="4" w:space="0" w:color="auto"/>
              <w:right w:val="single" w:sz="4" w:space="0" w:color="auto"/>
            </w:tcBorders>
            <w:noWrap/>
            <w:vAlign w:val="center"/>
          </w:tcPr>
          <w:p w:rsidR="00730618" w:rsidRPr="00730618" w:rsidRDefault="00730618" w:rsidP="006249E2">
            <w:pPr>
              <w:ind w:right="-286"/>
              <w:jc w:val="right"/>
              <w:rPr>
                <w:color w:val="000000" w:themeColor="text1"/>
                <w:sz w:val="20"/>
                <w:szCs w:val="20"/>
              </w:rPr>
            </w:pPr>
          </w:p>
        </w:tc>
        <w:tc>
          <w:tcPr>
            <w:tcW w:w="1276" w:type="dxa"/>
            <w:tcBorders>
              <w:top w:val="single" w:sz="4" w:space="0" w:color="auto"/>
              <w:left w:val="nil"/>
              <w:bottom w:val="single" w:sz="4" w:space="0" w:color="auto"/>
              <w:right w:val="single" w:sz="4" w:space="0" w:color="auto"/>
            </w:tcBorders>
            <w:noWrap/>
            <w:vAlign w:val="center"/>
          </w:tcPr>
          <w:p w:rsidR="00730618" w:rsidRPr="00730618" w:rsidRDefault="00730618" w:rsidP="006249E2">
            <w:pPr>
              <w:ind w:right="-286"/>
              <w:jc w:val="right"/>
              <w:rPr>
                <w:color w:val="000000" w:themeColor="text1"/>
                <w:sz w:val="20"/>
                <w:szCs w:val="20"/>
              </w:rPr>
            </w:pPr>
          </w:p>
        </w:tc>
        <w:tc>
          <w:tcPr>
            <w:tcW w:w="1275" w:type="dxa"/>
            <w:tcBorders>
              <w:top w:val="single" w:sz="4" w:space="0" w:color="auto"/>
              <w:left w:val="nil"/>
              <w:bottom w:val="single" w:sz="4" w:space="0" w:color="auto"/>
              <w:right w:val="single" w:sz="4" w:space="0" w:color="auto"/>
            </w:tcBorders>
            <w:noWrap/>
            <w:vAlign w:val="center"/>
          </w:tcPr>
          <w:p w:rsidR="00730618" w:rsidRPr="00730618" w:rsidRDefault="00730618" w:rsidP="006249E2">
            <w:pPr>
              <w:ind w:right="-286"/>
              <w:jc w:val="right"/>
              <w:rPr>
                <w:color w:val="000000" w:themeColor="text1"/>
                <w:sz w:val="20"/>
                <w:szCs w:val="20"/>
              </w:rPr>
            </w:pPr>
          </w:p>
        </w:tc>
      </w:tr>
      <w:tr w:rsidR="00730618" w:rsidRPr="00730618" w:rsidTr="00730618">
        <w:trPr>
          <w:trHeight w:val="255"/>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730618" w:rsidRPr="00730618" w:rsidRDefault="00730618" w:rsidP="006249E2">
            <w:pPr>
              <w:ind w:right="-286"/>
              <w:rPr>
                <w:bCs/>
                <w:i/>
                <w:color w:val="000000" w:themeColor="text1"/>
                <w:sz w:val="20"/>
                <w:szCs w:val="20"/>
              </w:rPr>
            </w:pPr>
            <w:r w:rsidRPr="00730618">
              <w:rPr>
                <w:bCs/>
                <w:i/>
                <w:color w:val="000000" w:themeColor="text1"/>
                <w:sz w:val="20"/>
                <w:szCs w:val="20"/>
              </w:rPr>
              <w:t>9. Доля среднесписочной численности работников на предприятиях малого и среднего предпринимательства в общей численности занятого населения</w:t>
            </w:r>
          </w:p>
        </w:tc>
        <w:tc>
          <w:tcPr>
            <w:tcW w:w="1276" w:type="dxa"/>
            <w:tcBorders>
              <w:top w:val="single" w:sz="4" w:space="0" w:color="auto"/>
              <w:left w:val="nil"/>
              <w:bottom w:val="single" w:sz="4" w:space="0" w:color="auto"/>
              <w:right w:val="single" w:sz="4" w:space="0" w:color="auto"/>
            </w:tcBorders>
            <w:vAlign w:val="center"/>
          </w:tcPr>
          <w:p w:rsidR="00730618" w:rsidRPr="00730618" w:rsidRDefault="00730618" w:rsidP="006249E2">
            <w:pPr>
              <w:ind w:right="-286"/>
              <w:jc w:val="center"/>
              <w:rPr>
                <w:color w:val="000000" w:themeColor="text1"/>
                <w:sz w:val="20"/>
                <w:szCs w:val="20"/>
              </w:rPr>
            </w:pPr>
            <w:r w:rsidRPr="00730618">
              <w:rPr>
                <w:color w:val="000000" w:themeColor="text1"/>
                <w:sz w:val="20"/>
                <w:szCs w:val="20"/>
              </w:rPr>
              <w:t>%</w:t>
            </w:r>
          </w:p>
          <w:p w:rsidR="00730618" w:rsidRPr="00730618" w:rsidRDefault="00730618" w:rsidP="006249E2">
            <w:pPr>
              <w:ind w:right="-286"/>
              <w:jc w:val="center"/>
              <w:rPr>
                <w:color w:val="000000" w:themeColor="text1"/>
                <w:sz w:val="20"/>
                <w:szCs w:val="20"/>
              </w:rPr>
            </w:pPr>
          </w:p>
        </w:tc>
        <w:tc>
          <w:tcPr>
            <w:tcW w:w="1275"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49,5</w:t>
            </w:r>
          </w:p>
        </w:tc>
        <w:tc>
          <w:tcPr>
            <w:tcW w:w="1276"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45,6</w:t>
            </w:r>
          </w:p>
        </w:tc>
        <w:tc>
          <w:tcPr>
            <w:tcW w:w="1276"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45,6</w:t>
            </w:r>
          </w:p>
        </w:tc>
        <w:tc>
          <w:tcPr>
            <w:tcW w:w="1276"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45,6</w:t>
            </w:r>
          </w:p>
        </w:tc>
        <w:tc>
          <w:tcPr>
            <w:tcW w:w="1275"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45,6</w:t>
            </w:r>
          </w:p>
        </w:tc>
      </w:tr>
      <w:tr w:rsidR="00730618" w:rsidRPr="00730618" w:rsidTr="00730618">
        <w:trPr>
          <w:trHeight w:val="255"/>
          <w:jc w:val="center"/>
        </w:trPr>
        <w:tc>
          <w:tcPr>
            <w:tcW w:w="2835" w:type="dxa"/>
            <w:tcBorders>
              <w:top w:val="single" w:sz="4" w:space="0" w:color="auto"/>
              <w:left w:val="single" w:sz="4" w:space="0" w:color="auto"/>
              <w:bottom w:val="single" w:sz="4" w:space="0" w:color="auto"/>
              <w:right w:val="single" w:sz="4" w:space="0" w:color="auto"/>
            </w:tcBorders>
            <w:vAlign w:val="center"/>
          </w:tcPr>
          <w:p w:rsidR="00730618" w:rsidRPr="00730618" w:rsidRDefault="00730618" w:rsidP="006249E2">
            <w:pPr>
              <w:ind w:right="-286"/>
              <w:rPr>
                <w:bCs/>
                <w:i/>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center"/>
          </w:tcPr>
          <w:p w:rsidR="00730618" w:rsidRPr="00730618" w:rsidRDefault="00730618" w:rsidP="006249E2">
            <w:pPr>
              <w:ind w:right="-286"/>
              <w:jc w:val="center"/>
              <w:rPr>
                <w:color w:val="000000" w:themeColor="text1"/>
                <w:sz w:val="20"/>
                <w:szCs w:val="20"/>
              </w:rPr>
            </w:pPr>
          </w:p>
        </w:tc>
        <w:tc>
          <w:tcPr>
            <w:tcW w:w="1275" w:type="dxa"/>
            <w:tcBorders>
              <w:top w:val="single" w:sz="4" w:space="0" w:color="auto"/>
              <w:left w:val="nil"/>
              <w:bottom w:val="single" w:sz="4" w:space="0" w:color="auto"/>
              <w:right w:val="single" w:sz="4" w:space="0" w:color="auto"/>
            </w:tcBorders>
            <w:noWrap/>
            <w:vAlign w:val="center"/>
          </w:tcPr>
          <w:p w:rsidR="00730618" w:rsidRPr="00730618" w:rsidRDefault="00730618" w:rsidP="006249E2">
            <w:pPr>
              <w:ind w:right="-286"/>
              <w:jc w:val="right"/>
              <w:rPr>
                <w:color w:val="000000" w:themeColor="text1"/>
                <w:sz w:val="20"/>
                <w:szCs w:val="20"/>
              </w:rPr>
            </w:pPr>
          </w:p>
        </w:tc>
        <w:tc>
          <w:tcPr>
            <w:tcW w:w="1276" w:type="dxa"/>
            <w:tcBorders>
              <w:top w:val="single" w:sz="4" w:space="0" w:color="auto"/>
              <w:left w:val="nil"/>
              <w:bottom w:val="single" w:sz="4" w:space="0" w:color="auto"/>
              <w:right w:val="single" w:sz="4" w:space="0" w:color="auto"/>
            </w:tcBorders>
            <w:noWrap/>
            <w:vAlign w:val="center"/>
          </w:tcPr>
          <w:p w:rsidR="00730618" w:rsidRPr="00730618" w:rsidRDefault="00730618" w:rsidP="006249E2">
            <w:pPr>
              <w:ind w:right="-286"/>
              <w:jc w:val="right"/>
              <w:rPr>
                <w:color w:val="000000" w:themeColor="text1"/>
                <w:sz w:val="20"/>
                <w:szCs w:val="20"/>
              </w:rPr>
            </w:pPr>
          </w:p>
        </w:tc>
        <w:tc>
          <w:tcPr>
            <w:tcW w:w="1276" w:type="dxa"/>
            <w:tcBorders>
              <w:top w:val="single" w:sz="4" w:space="0" w:color="auto"/>
              <w:left w:val="nil"/>
              <w:bottom w:val="single" w:sz="4" w:space="0" w:color="auto"/>
              <w:right w:val="single" w:sz="4" w:space="0" w:color="auto"/>
            </w:tcBorders>
            <w:noWrap/>
            <w:vAlign w:val="center"/>
          </w:tcPr>
          <w:p w:rsidR="00730618" w:rsidRPr="00730618" w:rsidRDefault="00730618" w:rsidP="006249E2">
            <w:pPr>
              <w:ind w:right="-286"/>
              <w:jc w:val="right"/>
              <w:rPr>
                <w:color w:val="000000" w:themeColor="text1"/>
                <w:sz w:val="20"/>
                <w:szCs w:val="20"/>
              </w:rPr>
            </w:pPr>
          </w:p>
        </w:tc>
        <w:tc>
          <w:tcPr>
            <w:tcW w:w="1276" w:type="dxa"/>
            <w:tcBorders>
              <w:top w:val="single" w:sz="4" w:space="0" w:color="auto"/>
              <w:left w:val="nil"/>
              <w:bottom w:val="single" w:sz="4" w:space="0" w:color="auto"/>
              <w:right w:val="single" w:sz="4" w:space="0" w:color="auto"/>
            </w:tcBorders>
            <w:noWrap/>
            <w:vAlign w:val="center"/>
          </w:tcPr>
          <w:p w:rsidR="00730618" w:rsidRPr="00730618" w:rsidRDefault="00730618" w:rsidP="006249E2">
            <w:pPr>
              <w:ind w:right="-286"/>
              <w:jc w:val="right"/>
              <w:rPr>
                <w:color w:val="000000" w:themeColor="text1"/>
                <w:sz w:val="20"/>
                <w:szCs w:val="20"/>
              </w:rPr>
            </w:pPr>
          </w:p>
        </w:tc>
        <w:tc>
          <w:tcPr>
            <w:tcW w:w="1275" w:type="dxa"/>
            <w:tcBorders>
              <w:top w:val="single" w:sz="4" w:space="0" w:color="auto"/>
              <w:left w:val="nil"/>
              <w:bottom w:val="single" w:sz="4" w:space="0" w:color="auto"/>
              <w:right w:val="single" w:sz="4" w:space="0" w:color="auto"/>
            </w:tcBorders>
            <w:noWrap/>
            <w:vAlign w:val="center"/>
          </w:tcPr>
          <w:p w:rsidR="00730618" w:rsidRPr="00730618" w:rsidRDefault="00730618" w:rsidP="006249E2">
            <w:pPr>
              <w:ind w:right="-286"/>
              <w:jc w:val="right"/>
              <w:rPr>
                <w:color w:val="000000" w:themeColor="text1"/>
                <w:sz w:val="20"/>
                <w:szCs w:val="20"/>
              </w:rPr>
            </w:pPr>
          </w:p>
        </w:tc>
      </w:tr>
      <w:tr w:rsidR="00730618" w:rsidRPr="00730618" w:rsidTr="00730618">
        <w:trPr>
          <w:trHeight w:val="255"/>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730618" w:rsidRPr="00730618" w:rsidRDefault="00730618" w:rsidP="006249E2">
            <w:pPr>
              <w:ind w:right="-286"/>
              <w:rPr>
                <w:bCs/>
                <w:i/>
                <w:color w:val="000000" w:themeColor="text1"/>
                <w:sz w:val="20"/>
                <w:szCs w:val="20"/>
              </w:rPr>
            </w:pPr>
            <w:r w:rsidRPr="00730618">
              <w:rPr>
                <w:bCs/>
                <w:i/>
                <w:color w:val="000000" w:themeColor="text1"/>
                <w:sz w:val="20"/>
                <w:szCs w:val="20"/>
              </w:rPr>
              <w:t>10. Доля отгруженных товаров (работ, услуг) на предприятиях малого и среднего предпринимательства в общей численности отгруженных товаров (работ, услуг)</w:t>
            </w:r>
          </w:p>
        </w:tc>
        <w:tc>
          <w:tcPr>
            <w:tcW w:w="1276" w:type="dxa"/>
            <w:tcBorders>
              <w:top w:val="single" w:sz="4" w:space="0" w:color="auto"/>
              <w:left w:val="nil"/>
              <w:bottom w:val="single" w:sz="4" w:space="0" w:color="auto"/>
              <w:right w:val="single" w:sz="4" w:space="0" w:color="auto"/>
            </w:tcBorders>
            <w:vAlign w:val="center"/>
            <w:hideMark/>
          </w:tcPr>
          <w:p w:rsidR="00730618" w:rsidRPr="00730618" w:rsidRDefault="00730618" w:rsidP="006249E2">
            <w:pPr>
              <w:ind w:right="-286"/>
              <w:jc w:val="center"/>
              <w:rPr>
                <w:i/>
                <w:color w:val="000000" w:themeColor="text1"/>
                <w:sz w:val="20"/>
                <w:szCs w:val="20"/>
              </w:rPr>
            </w:pPr>
            <w:r w:rsidRPr="00730618">
              <w:rPr>
                <w:i/>
                <w:color w:val="000000" w:themeColor="text1"/>
                <w:sz w:val="20"/>
                <w:szCs w:val="20"/>
              </w:rPr>
              <w:t>%</w:t>
            </w:r>
          </w:p>
        </w:tc>
        <w:tc>
          <w:tcPr>
            <w:tcW w:w="1275"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26,8</w:t>
            </w:r>
          </w:p>
        </w:tc>
        <w:tc>
          <w:tcPr>
            <w:tcW w:w="1276"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23,14</w:t>
            </w:r>
          </w:p>
        </w:tc>
        <w:tc>
          <w:tcPr>
            <w:tcW w:w="1276"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23,3</w:t>
            </w:r>
          </w:p>
        </w:tc>
        <w:tc>
          <w:tcPr>
            <w:tcW w:w="1276"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23,4</w:t>
            </w:r>
          </w:p>
        </w:tc>
        <w:tc>
          <w:tcPr>
            <w:tcW w:w="1275" w:type="dxa"/>
            <w:tcBorders>
              <w:top w:val="single" w:sz="4" w:space="0" w:color="auto"/>
              <w:left w:val="nil"/>
              <w:bottom w:val="single" w:sz="4" w:space="0" w:color="auto"/>
              <w:right w:val="single" w:sz="4" w:space="0" w:color="auto"/>
            </w:tcBorders>
            <w:noWrap/>
            <w:vAlign w:val="center"/>
            <w:hideMark/>
          </w:tcPr>
          <w:p w:rsidR="00730618" w:rsidRPr="00730618" w:rsidRDefault="00730618" w:rsidP="006249E2">
            <w:pPr>
              <w:ind w:right="-286"/>
              <w:jc w:val="center"/>
              <w:rPr>
                <w:color w:val="000000" w:themeColor="text1"/>
                <w:sz w:val="20"/>
                <w:szCs w:val="20"/>
              </w:rPr>
            </w:pPr>
            <w:r w:rsidRPr="00730618">
              <w:rPr>
                <w:color w:val="000000" w:themeColor="text1"/>
                <w:sz w:val="20"/>
                <w:szCs w:val="20"/>
              </w:rPr>
              <w:t>23,7</w:t>
            </w:r>
          </w:p>
        </w:tc>
      </w:tr>
    </w:tbl>
    <w:p w:rsidR="00730618" w:rsidRPr="00730618" w:rsidRDefault="00730618" w:rsidP="006249E2">
      <w:pPr>
        <w:ind w:right="-286"/>
        <w:rPr>
          <w:b/>
          <w:color w:val="000000" w:themeColor="text1"/>
          <w:sz w:val="27"/>
          <w:szCs w:val="27"/>
        </w:rPr>
        <w:sectPr w:rsidR="00730618" w:rsidRPr="00730618">
          <w:pgSz w:w="11906" w:h="16838"/>
          <w:pgMar w:top="851" w:right="851" w:bottom="851" w:left="851" w:header="709" w:footer="709" w:gutter="0"/>
          <w:cols w:space="720"/>
        </w:sectPr>
      </w:pPr>
    </w:p>
    <w:p w:rsidR="00730618" w:rsidRPr="00730618" w:rsidRDefault="00730618" w:rsidP="00730618">
      <w:pPr>
        <w:widowControl w:val="0"/>
        <w:autoSpaceDE w:val="0"/>
        <w:autoSpaceDN w:val="0"/>
        <w:adjustRightInd w:val="0"/>
        <w:jc w:val="center"/>
        <w:outlineLvl w:val="1"/>
        <w:rPr>
          <w:b/>
          <w:color w:val="000000" w:themeColor="text1"/>
          <w:sz w:val="27"/>
          <w:szCs w:val="27"/>
        </w:rPr>
      </w:pPr>
      <w:r w:rsidRPr="00730618">
        <w:rPr>
          <w:b/>
          <w:color w:val="000000" w:themeColor="text1"/>
          <w:sz w:val="27"/>
          <w:szCs w:val="27"/>
        </w:rPr>
        <w:lastRenderedPageBreak/>
        <w:t xml:space="preserve">Пояснительная записка к прогнозу социально-экономического развития городского округа город Шахунья Нижегородской области </w:t>
      </w:r>
    </w:p>
    <w:p w:rsidR="00730618" w:rsidRPr="00730618" w:rsidRDefault="00730618" w:rsidP="00730618">
      <w:pPr>
        <w:widowControl w:val="0"/>
        <w:autoSpaceDE w:val="0"/>
        <w:autoSpaceDN w:val="0"/>
        <w:adjustRightInd w:val="0"/>
        <w:spacing w:line="276" w:lineRule="auto"/>
        <w:jc w:val="center"/>
        <w:outlineLvl w:val="1"/>
        <w:rPr>
          <w:b/>
          <w:color w:val="000000" w:themeColor="text1"/>
          <w:sz w:val="26"/>
          <w:szCs w:val="26"/>
        </w:rPr>
      </w:pPr>
      <w:r w:rsidRPr="00730618">
        <w:rPr>
          <w:b/>
          <w:color w:val="000000" w:themeColor="text1"/>
          <w:sz w:val="26"/>
          <w:szCs w:val="26"/>
        </w:rPr>
        <w:t>на 2020 год и плановый период 2021 и 2022 годов</w:t>
      </w:r>
    </w:p>
    <w:p w:rsidR="00730618" w:rsidRPr="00730618" w:rsidRDefault="00730618" w:rsidP="00730618">
      <w:pPr>
        <w:widowControl w:val="0"/>
        <w:autoSpaceDE w:val="0"/>
        <w:autoSpaceDN w:val="0"/>
        <w:adjustRightInd w:val="0"/>
        <w:spacing w:line="276" w:lineRule="auto"/>
        <w:jc w:val="center"/>
        <w:outlineLvl w:val="1"/>
        <w:rPr>
          <w:b/>
          <w:color w:val="000000" w:themeColor="text1"/>
          <w:sz w:val="27"/>
          <w:szCs w:val="27"/>
        </w:rPr>
      </w:pPr>
    </w:p>
    <w:p w:rsidR="00730618" w:rsidRPr="00730618" w:rsidRDefault="00730618" w:rsidP="00730618">
      <w:pPr>
        <w:widowControl w:val="0"/>
        <w:autoSpaceDE w:val="0"/>
        <w:autoSpaceDN w:val="0"/>
        <w:adjustRightInd w:val="0"/>
        <w:spacing w:line="276" w:lineRule="auto"/>
        <w:ind w:firstLine="709"/>
        <w:jc w:val="both"/>
        <w:rPr>
          <w:color w:val="000000" w:themeColor="text1"/>
          <w:sz w:val="26"/>
          <w:szCs w:val="26"/>
        </w:rPr>
      </w:pPr>
      <w:r w:rsidRPr="00730618">
        <w:rPr>
          <w:color w:val="000000" w:themeColor="text1"/>
          <w:sz w:val="26"/>
          <w:szCs w:val="26"/>
        </w:rPr>
        <w:t>Прогноз социально-экономического развития разработан с учетом:</w:t>
      </w:r>
    </w:p>
    <w:p w:rsidR="00730618" w:rsidRPr="00730618" w:rsidRDefault="00730618" w:rsidP="00730618">
      <w:pPr>
        <w:tabs>
          <w:tab w:val="left" w:pos="1440"/>
        </w:tabs>
        <w:spacing w:line="276" w:lineRule="auto"/>
        <w:ind w:firstLine="709"/>
        <w:jc w:val="both"/>
        <w:rPr>
          <w:iCs/>
          <w:color w:val="000000" w:themeColor="text1"/>
          <w:sz w:val="26"/>
          <w:szCs w:val="26"/>
        </w:rPr>
      </w:pPr>
      <w:r w:rsidRPr="00730618">
        <w:rPr>
          <w:iCs/>
          <w:color w:val="000000" w:themeColor="text1"/>
          <w:sz w:val="26"/>
          <w:szCs w:val="26"/>
        </w:rPr>
        <w:t>- тенденций социально-экономического развития городского округа город Шахунья Нижегородской области в 2018 году и первой половины 2019 года;</w:t>
      </w:r>
    </w:p>
    <w:p w:rsidR="00730618" w:rsidRPr="00730618" w:rsidRDefault="00730618" w:rsidP="00730618">
      <w:pPr>
        <w:tabs>
          <w:tab w:val="left" w:pos="1440"/>
        </w:tabs>
        <w:spacing w:line="276" w:lineRule="auto"/>
        <w:ind w:firstLine="709"/>
        <w:jc w:val="both"/>
        <w:rPr>
          <w:iCs/>
          <w:color w:val="000000" w:themeColor="text1"/>
          <w:sz w:val="26"/>
          <w:szCs w:val="26"/>
        </w:rPr>
      </w:pPr>
      <w:proofErr w:type="gramStart"/>
      <w:r w:rsidRPr="00730618">
        <w:rPr>
          <w:iCs/>
          <w:color w:val="000000" w:themeColor="text1"/>
          <w:sz w:val="26"/>
          <w:szCs w:val="26"/>
        </w:rPr>
        <w:t xml:space="preserve">- </w:t>
      </w:r>
      <w:r w:rsidRPr="00730618">
        <w:rPr>
          <w:color w:val="000000" w:themeColor="text1"/>
          <w:sz w:val="26"/>
          <w:szCs w:val="26"/>
        </w:rPr>
        <w:t>основных параметров прогноза социально-экономического развития Нижегородской области на среднесрочный период (на 2020 год и плановый период 2021 и 2022 годов), утвержденных приказом министерства экономического развития и инвестиций Нижегородской области от 22 мая 2019 года № 64 «Об организации разработки прогноза социально – экономического развития Нижегородской области на среднесрочный период (на 2020 год и на плановый период 2021 и 2022 годов) и на</w:t>
      </w:r>
      <w:proofErr w:type="gramEnd"/>
      <w:r w:rsidRPr="00730618">
        <w:rPr>
          <w:color w:val="000000" w:themeColor="text1"/>
          <w:sz w:val="26"/>
          <w:szCs w:val="26"/>
        </w:rPr>
        <w:t xml:space="preserve"> период до 2024 года»</w:t>
      </w:r>
      <w:r w:rsidRPr="00730618">
        <w:rPr>
          <w:iCs/>
          <w:color w:val="000000" w:themeColor="text1"/>
          <w:sz w:val="26"/>
          <w:szCs w:val="26"/>
        </w:rPr>
        <w:t xml:space="preserve">; </w:t>
      </w:r>
    </w:p>
    <w:p w:rsidR="00730618" w:rsidRPr="00730618" w:rsidRDefault="00730618" w:rsidP="00730618">
      <w:pPr>
        <w:tabs>
          <w:tab w:val="left" w:pos="1440"/>
        </w:tabs>
        <w:spacing w:line="276" w:lineRule="auto"/>
        <w:ind w:firstLine="709"/>
        <w:jc w:val="both"/>
        <w:rPr>
          <w:iCs/>
          <w:color w:val="000000" w:themeColor="text1"/>
          <w:sz w:val="26"/>
          <w:szCs w:val="26"/>
        </w:rPr>
      </w:pPr>
      <w:r w:rsidRPr="00730618">
        <w:rPr>
          <w:iCs/>
          <w:color w:val="000000" w:themeColor="text1"/>
          <w:sz w:val="26"/>
          <w:szCs w:val="26"/>
        </w:rPr>
        <w:t>- реализации Указов Президента Российской Федерации по социально-экономической политике от 7 мая 2012 года;</w:t>
      </w:r>
    </w:p>
    <w:p w:rsidR="00730618" w:rsidRPr="00730618" w:rsidRDefault="00730618" w:rsidP="00730618">
      <w:pPr>
        <w:tabs>
          <w:tab w:val="left" w:pos="1440"/>
        </w:tabs>
        <w:spacing w:line="276" w:lineRule="auto"/>
        <w:ind w:firstLine="709"/>
        <w:jc w:val="both"/>
        <w:rPr>
          <w:iCs/>
          <w:color w:val="000000" w:themeColor="text1"/>
          <w:sz w:val="26"/>
          <w:szCs w:val="26"/>
        </w:rPr>
      </w:pPr>
      <w:r w:rsidRPr="00730618">
        <w:rPr>
          <w:iCs/>
          <w:color w:val="000000" w:themeColor="text1"/>
          <w:sz w:val="26"/>
          <w:szCs w:val="26"/>
        </w:rPr>
        <w:t>- предложений хозяйствующих субъектов, осуществляющих деятельность на территории городского округа город Шахунья Нижегородской области;</w:t>
      </w:r>
    </w:p>
    <w:p w:rsidR="00730618" w:rsidRPr="00730618" w:rsidRDefault="00730618" w:rsidP="00730618">
      <w:pPr>
        <w:tabs>
          <w:tab w:val="left" w:pos="1440"/>
        </w:tabs>
        <w:spacing w:line="276" w:lineRule="auto"/>
        <w:ind w:firstLine="709"/>
        <w:jc w:val="both"/>
        <w:rPr>
          <w:iCs/>
          <w:color w:val="000000" w:themeColor="text1"/>
          <w:sz w:val="26"/>
          <w:szCs w:val="26"/>
        </w:rPr>
      </w:pPr>
      <w:r w:rsidRPr="00730618">
        <w:rPr>
          <w:iCs/>
          <w:color w:val="000000" w:themeColor="text1"/>
          <w:sz w:val="26"/>
          <w:szCs w:val="26"/>
        </w:rPr>
        <w:t>- программы развития производительных сил городского округа город Шахунья Нижегородской области на 2013 - 2020 годы (утверждена постановлением администрации городского округа город Шахунья Нижегородской области от 22.10.2018 № 1377).</w:t>
      </w:r>
    </w:p>
    <w:p w:rsidR="00730618" w:rsidRPr="00730618" w:rsidRDefault="00730618" w:rsidP="00730618">
      <w:pPr>
        <w:widowControl w:val="0"/>
        <w:autoSpaceDE w:val="0"/>
        <w:autoSpaceDN w:val="0"/>
        <w:adjustRightInd w:val="0"/>
        <w:spacing w:line="276" w:lineRule="auto"/>
        <w:ind w:firstLine="709"/>
        <w:jc w:val="both"/>
        <w:rPr>
          <w:color w:val="000000" w:themeColor="text1"/>
          <w:sz w:val="26"/>
          <w:szCs w:val="26"/>
        </w:rPr>
      </w:pPr>
      <w:r w:rsidRPr="00730618">
        <w:rPr>
          <w:color w:val="000000" w:themeColor="text1"/>
          <w:sz w:val="26"/>
          <w:szCs w:val="26"/>
        </w:rPr>
        <w:t>Информационная база формирования Прогноза социально-экономического развития:</w:t>
      </w:r>
    </w:p>
    <w:p w:rsidR="00730618" w:rsidRPr="00730618" w:rsidRDefault="00730618" w:rsidP="00730618">
      <w:pPr>
        <w:widowControl w:val="0"/>
        <w:autoSpaceDE w:val="0"/>
        <w:autoSpaceDN w:val="0"/>
        <w:adjustRightInd w:val="0"/>
        <w:spacing w:line="276" w:lineRule="auto"/>
        <w:ind w:firstLine="709"/>
        <w:jc w:val="both"/>
        <w:rPr>
          <w:color w:val="000000" w:themeColor="text1"/>
          <w:sz w:val="26"/>
          <w:szCs w:val="26"/>
        </w:rPr>
      </w:pPr>
      <w:r w:rsidRPr="00730618">
        <w:rPr>
          <w:color w:val="000000" w:themeColor="text1"/>
          <w:sz w:val="26"/>
          <w:szCs w:val="26"/>
        </w:rPr>
        <w:t>- данные статистического учета за 2017 - 2018 годы и 4 месяца 2019 года;</w:t>
      </w:r>
    </w:p>
    <w:p w:rsidR="00730618" w:rsidRPr="00730618" w:rsidRDefault="00730618" w:rsidP="00730618">
      <w:pPr>
        <w:widowControl w:val="0"/>
        <w:autoSpaceDE w:val="0"/>
        <w:autoSpaceDN w:val="0"/>
        <w:adjustRightInd w:val="0"/>
        <w:spacing w:line="276" w:lineRule="auto"/>
        <w:ind w:firstLine="709"/>
        <w:jc w:val="both"/>
        <w:rPr>
          <w:color w:val="000000" w:themeColor="text1"/>
          <w:sz w:val="26"/>
          <w:szCs w:val="26"/>
        </w:rPr>
      </w:pPr>
      <w:proofErr w:type="gramStart"/>
      <w:r w:rsidRPr="00730618">
        <w:rPr>
          <w:color w:val="000000" w:themeColor="text1"/>
          <w:sz w:val="26"/>
          <w:szCs w:val="26"/>
        </w:rPr>
        <w:t>- основные параметры прогноза социально – экономического развития Нижегородской области на среднесрочный период (на 2020 год и на плановый период  2021 и 2022 годов) и на период до 2024 года, утвержденные приказом Министерства экономического развития и инвестиций Нижегородской области от 22 мая 2019 года № 64 «Об организации разработки прогноза социально – экономического развития Нижегородской области на среднесрочный период (на 2020 год и на</w:t>
      </w:r>
      <w:proofErr w:type="gramEnd"/>
      <w:r w:rsidRPr="00730618">
        <w:rPr>
          <w:color w:val="000000" w:themeColor="text1"/>
          <w:sz w:val="26"/>
          <w:szCs w:val="26"/>
        </w:rPr>
        <w:t xml:space="preserve"> плановый период 2021 и 2022 годов) и на период до 2024 года»;</w:t>
      </w:r>
    </w:p>
    <w:p w:rsidR="00730618" w:rsidRPr="00730618" w:rsidRDefault="00730618" w:rsidP="00730618">
      <w:pPr>
        <w:widowControl w:val="0"/>
        <w:autoSpaceDE w:val="0"/>
        <w:autoSpaceDN w:val="0"/>
        <w:adjustRightInd w:val="0"/>
        <w:spacing w:line="276" w:lineRule="auto"/>
        <w:ind w:firstLine="709"/>
        <w:jc w:val="both"/>
        <w:rPr>
          <w:color w:val="000000" w:themeColor="text1"/>
          <w:sz w:val="26"/>
          <w:szCs w:val="26"/>
        </w:rPr>
      </w:pPr>
      <w:r w:rsidRPr="00730618">
        <w:rPr>
          <w:color w:val="000000" w:themeColor="text1"/>
          <w:sz w:val="26"/>
          <w:szCs w:val="26"/>
        </w:rPr>
        <w:t>- прогнозы экономического развития хозяйствующих субъектов, осуществляющих деятельность на территории городского округа город Шахунья Нижегородской области.</w:t>
      </w:r>
    </w:p>
    <w:p w:rsidR="00730618" w:rsidRPr="00730618" w:rsidRDefault="00730618" w:rsidP="00730618">
      <w:pPr>
        <w:spacing w:line="276" w:lineRule="auto"/>
        <w:ind w:firstLine="720"/>
        <w:jc w:val="both"/>
        <w:rPr>
          <w:rFonts w:cs="Courier New"/>
          <w:b/>
          <w:color w:val="000000" w:themeColor="text1"/>
          <w:sz w:val="27"/>
          <w:szCs w:val="27"/>
        </w:rPr>
      </w:pPr>
    </w:p>
    <w:p w:rsidR="00730618" w:rsidRPr="00730618" w:rsidRDefault="00730618" w:rsidP="00730618">
      <w:pPr>
        <w:ind w:firstLine="720"/>
        <w:jc w:val="center"/>
        <w:rPr>
          <w:rFonts w:cs="Courier New"/>
          <w:b/>
          <w:color w:val="000000" w:themeColor="text1"/>
          <w:sz w:val="27"/>
          <w:szCs w:val="27"/>
        </w:rPr>
      </w:pPr>
      <w:r w:rsidRPr="00730618">
        <w:rPr>
          <w:rFonts w:cs="Courier New"/>
          <w:b/>
          <w:color w:val="000000" w:themeColor="text1"/>
          <w:sz w:val="27"/>
          <w:szCs w:val="27"/>
        </w:rPr>
        <w:t>Анализ социально-экономического развития городского округа город Шахунья Нижегородской области в 2018 году</w:t>
      </w:r>
    </w:p>
    <w:p w:rsidR="00730618" w:rsidRPr="00730618" w:rsidRDefault="00730618" w:rsidP="00730618">
      <w:pPr>
        <w:spacing w:line="276" w:lineRule="auto"/>
        <w:ind w:firstLine="720"/>
        <w:jc w:val="both"/>
        <w:rPr>
          <w:rFonts w:cs="Courier New"/>
          <w:b/>
          <w:color w:val="000000" w:themeColor="text1"/>
          <w:sz w:val="27"/>
          <w:szCs w:val="27"/>
        </w:rPr>
      </w:pPr>
    </w:p>
    <w:p w:rsidR="00730618" w:rsidRPr="00730618" w:rsidRDefault="00730618" w:rsidP="00730618">
      <w:pPr>
        <w:spacing w:line="276" w:lineRule="auto"/>
        <w:ind w:firstLine="720"/>
        <w:jc w:val="both"/>
        <w:rPr>
          <w:rFonts w:cs="Courier New"/>
          <w:color w:val="000000" w:themeColor="text1"/>
          <w:sz w:val="26"/>
          <w:szCs w:val="26"/>
        </w:rPr>
      </w:pPr>
      <w:r w:rsidRPr="00730618">
        <w:rPr>
          <w:rFonts w:cs="Courier New"/>
          <w:color w:val="000000" w:themeColor="text1"/>
          <w:sz w:val="26"/>
          <w:szCs w:val="26"/>
        </w:rPr>
        <w:t>За 2018 год предприятиями и организациями городского округа город  Шахунья (по полному кругу организаций) отгружено товаров собственного производства, выполнено работ и услуг собственными силами на сумму 5 659,5 млн. руб., что составляет 109,9 %  в действующих ценах к уровню 2017 года (в сопоставимых ценах – 106,0%).</w:t>
      </w:r>
    </w:p>
    <w:p w:rsidR="00730618" w:rsidRPr="00730618" w:rsidRDefault="00730618" w:rsidP="00730618">
      <w:pPr>
        <w:spacing w:line="276" w:lineRule="auto"/>
        <w:ind w:firstLine="720"/>
        <w:jc w:val="both"/>
        <w:rPr>
          <w:rFonts w:cs="Courier New"/>
          <w:color w:val="000000" w:themeColor="text1"/>
          <w:sz w:val="26"/>
          <w:szCs w:val="26"/>
        </w:rPr>
      </w:pPr>
      <w:r w:rsidRPr="00730618">
        <w:rPr>
          <w:rFonts w:cs="Courier New"/>
          <w:color w:val="000000" w:themeColor="text1"/>
          <w:sz w:val="26"/>
          <w:szCs w:val="26"/>
        </w:rPr>
        <w:t xml:space="preserve">Крупными и средними предприятиями и организациями городского округа город  Шахунья отгружено товаров собственного производства, выполнено работ и услуг </w:t>
      </w:r>
      <w:r w:rsidRPr="00730618">
        <w:rPr>
          <w:rFonts w:cs="Courier New"/>
          <w:color w:val="000000" w:themeColor="text1"/>
          <w:sz w:val="26"/>
          <w:szCs w:val="26"/>
        </w:rPr>
        <w:lastRenderedPageBreak/>
        <w:t>собственными силами на сумму 4 143,1 млн. руб., что составляет 100,4 %  в действующих ценах к уровню 2017 года или 96,9 % в сопоставимых ценах.</w:t>
      </w:r>
    </w:p>
    <w:p w:rsidR="00730618" w:rsidRPr="00730618" w:rsidRDefault="00730618" w:rsidP="00730618">
      <w:pPr>
        <w:spacing w:line="276" w:lineRule="auto"/>
        <w:ind w:firstLine="709"/>
        <w:jc w:val="both"/>
        <w:rPr>
          <w:color w:val="000000" w:themeColor="text1"/>
          <w:sz w:val="26"/>
          <w:szCs w:val="26"/>
        </w:rPr>
      </w:pPr>
      <w:bookmarkStart w:id="1" w:name="_MON_1424520027"/>
      <w:bookmarkStart w:id="2" w:name="_MON_1424520044"/>
      <w:bookmarkStart w:id="3" w:name="_MON_1424520056"/>
      <w:bookmarkEnd w:id="1"/>
      <w:bookmarkEnd w:id="2"/>
      <w:bookmarkEnd w:id="3"/>
      <w:r w:rsidRPr="00730618">
        <w:rPr>
          <w:color w:val="000000" w:themeColor="text1"/>
          <w:sz w:val="26"/>
          <w:szCs w:val="26"/>
        </w:rPr>
        <w:t xml:space="preserve">Флагманом экономики городского округа является промышленный комплекс. На сегодняшний день именно он определяет динамику реального сектора экономики и социально-экономическое развитие округа. За 2018 год предприятиями и организациями городского округа город Шахунья вида деятельности «Обрабатывающее производство» (по полному кругу организаций)  было отгружено товаров собственного производства  на сумму   3 844,7 млн. руб., темп роста к соответствующему периоду прошлого года составил в действующих ценах 111,3% (в сопоставимых ценах – 100,9%). </w:t>
      </w:r>
    </w:p>
    <w:p w:rsidR="00730618" w:rsidRPr="00730618" w:rsidRDefault="00730618" w:rsidP="00730618">
      <w:pPr>
        <w:spacing w:line="276" w:lineRule="auto"/>
        <w:ind w:firstLine="720"/>
        <w:jc w:val="both"/>
        <w:rPr>
          <w:rFonts w:eastAsia="Calibri"/>
          <w:color w:val="000000" w:themeColor="text1"/>
          <w:sz w:val="26"/>
          <w:szCs w:val="26"/>
          <w:lang w:eastAsia="en-US"/>
        </w:rPr>
      </w:pPr>
      <w:r w:rsidRPr="00730618">
        <w:rPr>
          <w:rFonts w:eastAsia="Calibri"/>
          <w:color w:val="000000" w:themeColor="text1"/>
          <w:sz w:val="26"/>
          <w:szCs w:val="26"/>
          <w:lang w:eastAsia="en-US"/>
        </w:rPr>
        <w:t>Наибольший рост объемов отгрузки демонстрируют следующие предприятия:</w:t>
      </w:r>
    </w:p>
    <w:p w:rsidR="00730618" w:rsidRPr="00730618" w:rsidRDefault="00730618" w:rsidP="00730618">
      <w:pPr>
        <w:spacing w:line="276" w:lineRule="auto"/>
        <w:ind w:firstLine="720"/>
        <w:jc w:val="both"/>
        <w:rPr>
          <w:rFonts w:eastAsia="Calibri"/>
          <w:color w:val="000000" w:themeColor="text1"/>
          <w:sz w:val="26"/>
          <w:szCs w:val="26"/>
          <w:lang w:eastAsia="en-US"/>
        </w:rPr>
      </w:pPr>
      <w:proofErr w:type="gramStart"/>
      <w:r w:rsidRPr="00730618">
        <w:rPr>
          <w:rFonts w:eastAsia="Calibri"/>
          <w:color w:val="000000" w:themeColor="text1"/>
          <w:sz w:val="26"/>
          <w:szCs w:val="26"/>
          <w:lang w:eastAsia="en-US"/>
        </w:rPr>
        <w:t>- ООО Фанерный Комбинат «</w:t>
      </w:r>
      <w:proofErr w:type="spellStart"/>
      <w:r w:rsidRPr="00730618">
        <w:rPr>
          <w:rFonts w:eastAsia="Calibri"/>
          <w:color w:val="000000" w:themeColor="text1"/>
          <w:sz w:val="26"/>
          <w:szCs w:val="26"/>
          <w:lang w:eastAsia="en-US"/>
        </w:rPr>
        <w:t>Нордплит</w:t>
      </w:r>
      <w:proofErr w:type="spellEnd"/>
      <w:r w:rsidRPr="00730618">
        <w:rPr>
          <w:rFonts w:eastAsia="Calibri"/>
          <w:color w:val="000000" w:themeColor="text1"/>
          <w:sz w:val="26"/>
          <w:szCs w:val="26"/>
          <w:lang w:eastAsia="en-US"/>
        </w:rPr>
        <w:t>» (рост объема отгруженной продукции  в 2018 году по предприятию составил 138,8% к уровню 2017 года.</w:t>
      </w:r>
      <w:proofErr w:type="gramEnd"/>
      <w:r w:rsidRPr="00730618">
        <w:rPr>
          <w:rFonts w:eastAsia="Calibri"/>
          <w:color w:val="000000" w:themeColor="text1"/>
          <w:sz w:val="26"/>
          <w:szCs w:val="26"/>
          <w:lang w:eastAsia="en-US"/>
        </w:rPr>
        <w:t xml:space="preserve"> За 2018 год предприятием произведено 19,4 </w:t>
      </w:r>
      <w:proofErr w:type="spellStart"/>
      <w:r w:rsidRPr="00730618">
        <w:rPr>
          <w:rFonts w:eastAsia="Calibri"/>
          <w:color w:val="000000" w:themeColor="text1"/>
          <w:sz w:val="26"/>
          <w:szCs w:val="26"/>
          <w:lang w:eastAsia="en-US"/>
        </w:rPr>
        <w:t>тыс</w:t>
      </w:r>
      <w:proofErr w:type="gramStart"/>
      <w:r w:rsidRPr="00730618">
        <w:rPr>
          <w:rFonts w:eastAsia="Calibri"/>
          <w:color w:val="000000" w:themeColor="text1"/>
          <w:sz w:val="26"/>
          <w:szCs w:val="26"/>
          <w:lang w:eastAsia="en-US"/>
        </w:rPr>
        <w:t>.к</w:t>
      </w:r>
      <w:proofErr w:type="gramEnd"/>
      <w:r w:rsidRPr="00730618">
        <w:rPr>
          <w:rFonts w:eastAsia="Calibri"/>
          <w:color w:val="000000" w:themeColor="text1"/>
          <w:sz w:val="26"/>
          <w:szCs w:val="26"/>
          <w:lang w:eastAsia="en-US"/>
        </w:rPr>
        <w:t>уб.м</w:t>
      </w:r>
      <w:proofErr w:type="spellEnd"/>
      <w:r w:rsidRPr="00730618">
        <w:rPr>
          <w:rFonts w:eastAsia="Calibri"/>
          <w:color w:val="000000" w:themeColor="text1"/>
          <w:sz w:val="26"/>
          <w:szCs w:val="26"/>
          <w:lang w:eastAsia="en-US"/>
        </w:rPr>
        <w:t>. клееной фанеры);</w:t>
      </w:r>
    </w:p>
    <w:p w:rsidR="00730618" w:rsidRPr="00730618" w:rsidRDefault="00730618" w:rsidP="00730618">
      <w:pPr>
        <w:spacing w:line="276" w:lineRule="auto"/>
        <w:ind w:firstLine="720"/>
        <w:jc w:val="both"/>
        <w:rPr>
          <w:rFonts w:eastAsia="Calibri"/>
          <w:color w:val="000000" w:themeColor="text1"/>
          <w:sz w:val="26"/>
          <w:szCs w:val="26"/>
          <w:lang w:eastAsia="en-US"/>
        </w:rPr>
      </w:pPr>
      <w:r w:rsidRPr="00730618">
        <w:rPr>
          <w:rFonts w:eastAsia="Calibri"/>
          <w:color w:val="000000" w:themeColor="text1"/>
          <w:sz w:val="26"/>
          <w:szCs w:val="26"/>
          <w:lang w:eastAsia="en-US"/>
        </w:rPr>
        <w:t>- ООО «</w:t>
      </w:r>
      <w:proofErr w:type="spellStart"/>
      <w:r w:rsidRPr="00730618">
        <w:rPr>
          <w:rFonts w:eastAsia="Calibri"/>
          <w:color w:val="000000" w:themeColor="text1"/>
          <w:sz w:val="26"/>
          <w:szCs w:val="26"/>
          <w:lang w:eastAsia="en-US"/>
        </w:rPr>
        <w:t>Лестранс</w:t>
      </w:r>
      <w:proofErr w:type="spellEnd"/>
      <w:r w:rsidRPr="00730618">
        <w:rPr>
          <w:rFonts w:eastAsia="Calibri"/>
          <w:color w:val="000000" w:themeColor="text1"/>
          <w:sz w:val="26"/>
          <w:szCs w:val="26"/>
          <w:lang w:eastAsia="en-US"/>
        </w:rPr>
        <w:t>» (по итогам работы  в 2018 году объем отгруженной продукции предприятия увеличился на 59 % и составил 187 млн. руб., в 2017 году – 118 млн. руб.)</w:t>
      </w:r>
    </w:p>
    <w:p w:rsidR="00730618" w:rsidRPr="00730618" w:rsidRDefault="00730618" w:rsidP="00730618">
      <w:pPr>
        <w:spacing w:line="276" w:lineRule="auto"/>
        <w:ind w:firstLine="720"/>
        <w:jc w:val="both"/>
        <w:rPr>
          <w:rFonts w:eastAsia="Calibri"/>
          <w:color w:val="000000" w:themeColor="text1"/>
          <w:sz w:val="26"/>
          <w:szCs w:val="26"/>
          <w:lang w:eastAsia="en-US"/>
        </w:rPr>
      </w:pPr>
      <w:r w:rsidRPr="00730618">
        <w:rPr>
          <w:rFonts w:eastAsia="Calibri"/>
          <w:color w:val="000000" w:themeColor="text1"/>
          <w:sz w:val="26"/>
          <w:szCs w:val="26"/>
          <w:lang w:eastAsia="en-US"/>
        </w:rPr>
        <w:t xml:space="preserve">В 2018 году сложилась сложная ситуация, связанная с ликвидацией вагонного ремонтного депо Шахунья – обособленного структурного подразделения АО «Вагонная ремонтная компания – 3» (далее АО «ВРК-3»). </w:t>
      </w:r>
    </w:p>
    <w:p w:rsidR="00730618" w:rsidRPr="00730618" w:rsidRDefault="00730618" w:rsidP="00730618">
      <w:pPr>
        <w:spacing w:line="276" w:lineRule="auto"/>
        <w:ind w:firstLine="720"/>
        <w:jc w:val="both"/>
        <w:rPr>
          <w:rFonts w:eastAsia="Calibri"/>
          <w:color w:val="000000" w:themeColor="text1"/>
          <w:sz w:val="26"/>
          <w:szCs w:val="26"/>
          <w:lang w:eastAsia="en-US"/>
        </w:rPr>
      </w:pPr>
      <w:r w:rsidRPr="00730618">
        <w:rPr>
          <w:rFonts w:eastAsia="Calibri"/>
          <w:color w:val="000000" w:themeColor="text1"/>
          <w:sz w:val="26"/>
          <w:szCs w:val="26"/>
          <w:lang w:eastAsia="en-US"/>
        </w:rPr>
        <w:t xml:space="preserve">В мае 2018 года руководством АО «ВРК-3» принято решение о консервации вагонного ремонтного депо Шахунья – обособленного структурного подразделения АО «ВРК-3» (далее – </w:t>
      </w:r>
      <w:proofErr w:type="spellStart"/>
      <w:r w:rsidRPr="00730618">
        <w:rPr>
          <w:rFonts w:eastAsia="Calibri"/>
          <w:color w:val="000000" w:themeColor="text1"/>
          <w:sz w:val="26"/>
          <w:szCs w:val="26"/>
          <w:lang w:eastAsia="en-US"/>
        </w:rPr>
        <w:t>ВЧДр</w:t>
      </w:r>
      <w:proofErr w:type="spellEnd"/>
      <w:r w:rsidRPr="00730618">
        <w:rPr>
          <w:rFonts w:eastAsia="Calibri"/>
          <w:color w:val="000000" w:themeColor="text1"/>
          <w:sz w:val="26"/>
          <w:szCs w:val="26"/>
          <w:lang w:eastAsia="en-US"/>
        </w:rPr>
        <w:t xml:space="preserve"> Шахунья). Руководством Горьковской железной дороги в июне 2018 года проведено совещание с собственниками подразделения. В результате решение о консервации </w:t>
      </w:r>
      <w:proofErr w:type="spellStart"/>
      <w:r w:rsidRPr="00730618">
        <w:rPr>
          <w:rFonts w:eastAsia="Calibri"/>
          <w:color w:val="000000" w:themeColor="text1"/>
          <w:sz w:val="26"/>
          <w:szCs w:val="26"/>
          <w:lang w:eastAsia="en-US"/>
        </w:rPr>
        <w:t>ВЧДр</w:t>
      </w:r>
      <w:proofErr w:type="spellEnd"/>
      <w:r w:rsidRPr="00730618">
        <w:rPr>
          <w:rFonts w:eastAsia="Calibri"/>
          <w:color w:val="000000" w:themeColor="text1"/>
          <w:sz w:val="26"/>
          <w:szCs w:val="26"/>
          <w:lang w:eastAsia="en-US"/>
        </w:rPr>
        <w:t xml:space="preserve"> Шахунья </w:t>
      </w:r>
      <w:proofErr w:type="gramStart"/>
      <w:r w:rsidRPr="00730618">
        <w:rPr>
          <w:rFonts w:eastAsia="Calibri"/>
          <w:color w:val="000000" w:themeColor="text1"/>
          <w:sz w:val="26"/>
          <w:szCs w:val="26"/>
          <w:lang w:eastAsia="en-US"/>
        </w:rPr>
        <w:t>отменено</w:t>
      </w:r>
      <w:proofErr w:type="gramEnd"/>
      <w:r w:rsidRPr="00730618">
        <w:rPr>
          <w:rFonts w:eastAsia="Calibri"/>
          <w:color w:val="000000" w:themeColor="text1"/>
          <w:sz w:val="26"/>
          <w:szCs w:val="26"/>
          <w:lang w:eastAsia="en-US"/>
        </w:rPr>
        <w:t xml:space="preserve"> и деятельность предприятия была продолжена.</w:t>
      </w:r>
    </w:p>
    <w:p w:rsidR="00730618" w:rsidRPr="00730618" w:rsidRDefault="00730618" w:rsidP="00730618">
      <w:pPr>
        <w:spacing w:line="276" w:lineRule="auto"/>
        <w:ind w:firstLine="720"/>
        <w:jc w:val="both"/>
        <w:rPr>
          <w:rFonts w:eastAsia="Calibri"/>
          <w:color w:val="000000" w:themeColor="text1"/>
          <w:sz w:val="26"/>
          <w:szCs w:val="26"/>
          <w:lang w:eastAsia="en-US"/>
        </w:rPr>
      </w:pPr>
      <w:r w:rsidRPr="00730618">
        <w:rPr>
          <w:rFonts w:eastAsia="Calibri"/>
          <w:color w:val="000000" w:themeColor="text1"/>
          <w:sz w:val="26"/>
          <w:szCs w:val="26"/>
          <w:lang w:eastAsia="en-US"/>
        </w:rPr>
        <w:t xml:space="preserve">В ноябре 2018 года руководством АО «ВРК-3» принято решение о ликвидации ВЧДР Шахунья с формулировкой «в связи с неэффективной деятельностью». Выполнение данного решения приведет к высвобождению более 120 высококвалифицированных работников предприятия и дестабилизации на рынке труда городского округа город Шахунья. </w:t>
      </w:r>
    </w:p>
    <w:p w:rsidR="00730618" w:rsidRPr="00730618" w:rsidRDefault="00730618" w:rsidP="00730618">
      <w:pPr>
        <w:spacing w:line="276" w:lineRule="auto"/>
        <w:ind w:firstLine="720"/>
        <w:jc w:val="both"/>
        <w:rPr>
          <w:rFonts w:eastAsia="Calibri"/>
          <w:color w:val="000000" w:themeColor="text1"/>
          <w:sz w:val="26"/>
          <w:szCs w:val="26"/>
          <w:lang w:eastAsia="en-US"/>
        </w:rPr>
      </w:pPr>
      <w:r w:rsidRPr="00730618">
        <w:rPr>
          <w:rFonts w:eastAsia="Calibri"/>
          <w:color w:val="000000" w:themeColor="text1"/>
          <w:sz w:val="26"/>
          <w:szCs w:val="26"/>
          <w:lang w:eastAsia="en-US"/>
        </w:rPr>
        <w:t xml:space="preserve">В целях исключения данной ситуации, 10 ноября 2018 года администрацией городского округа город Шахунья была проведена встреча с руководителем и представителями трудового коллектива  </w:t>
      </w:r>
      <w:proofErr w:type="spellStart"/>
      <w:r w:rsidRPr="00730618">
        <w:rPr>
          <w:rFonts w:eastAsia="Calibri"/>
          <w:color w:val="000000" w:themeColor="text1"/>
          <w:sz w:val="26"/>
          <w:szCs w:val="26"/>
          <w:lang w:eastAsia="en-US"/>
        </w:rPr>
        <w:t>ВЧДр</w:t>
      </w:r>
      <w:proofErr w:type="spellEnd"/>
      <w:r w:rsidRPr="00730618">
        <w:rPr>
          <w:rFonts w:eastAsia="Calibri"/>
          <w:color w:val="000000" w:themeColor="text1"/>
          <w:sz w:val="26"/>
          <w:szCs w:val="26"/>
          <w:lang w:eastAsia="en-US"/>
        </w:rPr>
        <w:t xml:space="preserve"> Шахунья для обсуждения совместных мероприятий по сохранению деятельности  предприятия. </w:t>
      </w:r>
    </w:p>
    <w:p w:rsidR="00730618" w:rsidRPr="00730618" w:rsidRDefault="00730618" w:rsidP="00730618">
      <w:pPr>
        <w:spacing w:line="276" w:lineRule="auto"/>
        <w:ind w:firstLine="720"/>
        <w:jc w:val="both"/>
        <w:rPr>
          <w:rFonts w:eastAsia="Calibri"/>
          <w:color w:val="000000" w:themeColor="text1"/>
          <w:sz w:val="26"/>
          <w:szCs w:val="26"/>
          <w:lang w:eastAsia="en-US"/>
        </w:rPr>
      </w:pPr>
      <w:r w:rsidRPr="00730618">
        <w:rPr>
          <w:rFonts w:eastAsia="Calibri"/>
          <w:color w:val="000000" w:themeColor="text1"/>
          <w:sz w:val="26"/>
          <w:szCs w:val="26"/>
          <w:lang w:eastAsia="en-US"/>
        </w:rPr>
        <w:t xml:space="preserve">13 ноября 2018 года администрацией городского округа город Шахунья в адрес руководства АО «ВРК-3» было направлено обращение о рассмотрении возможности отмены приказа о ликвидации  и организации встречи для обсуждения сохранения деятельности </w:t>
      </w:r>
      <w:proofErr w:type="spellStart"/>
      <w:r w:rsidRPr="00730618">
        <w:rPr>
          <w:rFonts w:eastAsia="Calibri"/>
          <w:color w:val="000000" w:themeColor="text1"/>
          <w:sz w:val="26"/>
          <w:szCs w:val="26"/>
          <w:lang w:eastAsia="en-US"/>
        </w:rPr>
        <w:t>ВЧДр</w:t>
      </w:r>
      <w:proofErr w:type="spellEnd"/>
      <w:r w:rsidRPr="00730618">
        <w:rPr>
          <w:rFonts w:eastAsia="Calibri"/>
          <w:color w:val="000000" w:themeColor="text1"/>
          <w:sz w:val="26"/>
          <w:szCs w:val="26"/>
          <w:lang w:eastAsia="en-US"/>
        </w:rPr>
        <w:t xml:space="preserve"> Шахунья. Кроме этого, 13 ноября 2018 года было направлено обращение в адрес министра транспорта и автомобильных дорог Нижегородской области В.А. Власова с просьбой оказать содействие в сохранении деятельности предприятия. </w:t>
      </w:r>
    </w:p>
    <w:p w:rsidR="00730618" w:rsidRPr="00730618" w:rsidRDefault="00730618" w:rsidP="00730618">
      <w:pPr>
        <w:spacing w:line="276" w:lineRule="auto"/>
        <w:ind w:firstLine="720"/>
        <w:jc w:val="both"/>
        <w:rPr>
          <w:rFonts w:eastAsia="Calibri"/>
          <w:color w:val="000000" w:themeColor="text1"/>
          <w:sz w:val="26"/>
          <w:szCs w:val="26"/>
          <w:lang w:eastAsia="en-US"/>
        </w:rPr>
      </w:pPr>
      <w:r w:rsidRPr="00730618">
        <w:rPr>
          <w:rFonts w:eastAsia="Calibri"/>
          <w:color w:val="000000" w:themeColor="text1"/>
          <w:sz w:val="26"/>
          <w:szCs w:val="26"/>
          <w:lang w:eastAsia="en-US"/>
        </w:rPr>
        <w:t xml:space="preserve">Дополнительно, в целях исключения возможности массового высвобождения сотрудников </w:t>
      </w:r>
      <w:proofErr w:type="spellStart"/>
      <w:r w:rsidRPr="00730618">
        <w:rPr>
          <w:rFonts w:eastAsia="Calibri"/>
          <w:color w:val="000000" w:themeColor="text1"/>
          <w:sz w:val="26"/>
          <w:szCs w:val="26"/>
          <w:lang w:eastAsia="en-US"/>
        </w:rPr>
        <w:t>ВЧДр</w:t>
      </w:r>
      <w:proofErr w:type="spellEnd"/>
      <w:r w:rsidRPr="00730618">
        <w:rPr>
          <w:rFonts w:eastAsia="Calibri"/>
          <w:color w:val="000000" w:themeColor="text1"/>
          <w:sz w:val="26"/>
          <w:szCs w:val="26"/>
          <w:lang w:eastAsia="en-US"/>
        </w:rPr>
        <w:t xml:space="preserve"> Шахунья, администрацией городского округа город Шахунья прорабатывался вопрос по поиску потенциальных инвесторов для приобретения предприятия. В результате проведенной работ</w:t>
      </w:r>
      <w:proofErr w:type="gramStart"/>
      <w:r w:rsidRPr="00730618">
        <w:rPr>
          <w:rFonts w:eastAsia="Calibri"/>
          <w:color w:val="000000" w:themeColor="text1"/>
          <w:sz w:val="26"/>
          <w:szCs w:val="26"/>
          <w:lang w:eastAsia="en-US"/>
        </w:rPr>
        <w:t>ы ООО</w:t>
      </w:r>
      <w:proofErr w:type="gramEnd"/>
      <w:r w:rsidRPr="00730618">
        <w:rPr>
          <w:rFonts w:eastAsia="Calibri"/>
          <w:color w:val="000000" w:themeColor="text1"/>
          <w:sz w:val="26"/>
          <w:szCs w:val="26"/>
          <w:lang w:eastAsia="en-US"/>
        </w:rPr>
        <w:t xml:space="preserve"> «</w:t>
      </w:r>
      <w:proofErr w:type="spellStart"/>
      <w:r w:rsidRPr="00730618">
        <w:rPr>
          <w:rFonts w:eastAsia="Calibri"/>
          <w:color w:val="000000" w:themeColor="text1"/>
          <w:sz w:val="26"/>
          <w:szCs w:val="26"/>
          <w:lang w:eastAsia="en-US"/>
        </w:rPr>
        <w:t>Химмагистраль</w:t>
      </w:r>
      <w:proofErr w:type="spellEnd"/>
      <w:r w:rsidRPr="00730618">
        <w:rPr>
          <w:rFonts w:eastAsia="Calibri"/>
          <w:color w:val="000000" w:themeColor="text1"/>
          <w:sz w:val="26"/>
          <w:szCs w:val="26"/>
          <w:lang w:eastAsia="en-US"/>
        </w:rPr>
        <w:t>» и АО «Русско-балтийский вагонный завод» выразили заинтересованность в приобретении вагонного ремонтного депо в городе Шахунья.</w:t>
      </w:r>
    </w:p>
    <w:p w:rsidR="00730618" w:rsidRPr="00730618" w:rsidRDefault="00730618" w:rsidP="00730618">
      <w:pPr>
        <w:spacing w:line="276" w:lineRule="auto"/>
        <w:ind w:firstLine="720"/>
        <w:jc w:val="both"/>
        <w:rPr>
          <w:rFonts w:eastAsia="Calibri"/>
          <w:color w:val="000000" w:themeColor="text1"/>
          <w:sz w:val="26"/>
          <w:szCs w:val="26"/>
          <w:lang w:eastAsia="en-US"/>
        </w:rPr>
      </w:pPr>
      <w:proofErr w:type="gramStart"/>
      <w:r w:rsidRPr="00730618">
        <w:rPr>
          <w:rFonts w:eastAsia="Calibri"/>
          <w:color w:val="000000" w:themeColor="text1"/>
          <w:sz w:val="26"/>
          <w:szCs w:val="26"/>
          <w:lang w:eastAsia="en-US"/>
        </w:rPr>
        <w:lastRenderedPageBreak/>
        <w:t xml:space="preserve">По итогам вышеуказанных обращений, 16 ноября 2018 года было проведено рабочее совещание с участием министра транспорта и автомобильных дорог Нижегородской области - Власова В.А., генерального директора АО «ВРК-3» - </w:t>
      </w:r>
      <w:proofErr w:type="spellStart"/>
      <w:r w:rsidRPr="00730618">
        <w:rPr>
          <w:rFonts w:eastAsia="Calibri"/>
          <w:color w:val="000000" w:themeColor="text1"/>
          <w:sz w:val="26"/>
          <w:szCs w:val="26"/>
          <w:lang w:eastAsia="en-US"/>
        </w:rPr>
        <w:t>Волокитина</w:t>
      </w:r>
      <w:proofErr w:type="spellEnd"/>
      <w:r w:rsidRPr="00730618">
        <w:rPr>
          <w:rFonts w:eastAsia="Calibri"/>
          <w:color w:val="000000" w:themeColor="text1"/>
          <w:sz w:val="26"/>
          <w:szCs w:val="26"/>
          <w:lang w:eastAsia="en-US"/>
        </w:rPr>
        <w:t xml:space="preserve"> И.А., главы местного самоуправления городского округа город Шахунья - Кошелева Р.В. и работников вагонного ремонтного депо по вопросу сохранения деятельности </w:t>
      </w:r>
      <w:proofErr w:type="spellStart"/>
      <w:r w:rsidRPr="00730618">
        <w:rPr>
          <w:rFonts w:eastAsia="Calibri"/>
          <w:color w:val="000000" w:themeColor="text1"/>
          <w:sz w:val="26"/>
          <w:szCs w:val="26"/>
          <w:lang w:eastAsia="en-US"/>
        </w:rPr>
        <w:t>ВЧДр</w:t>
      </w:r>
      <w:proofErr w:type="spellEnd"/>
      <w:r w:rsidRPr="00730618">
        <w:rPr>
          <w:rFonts w:eastAsia="Calibri"/>
          <w:color w:val="000000" w:themeColor="text1"/>
          <w:sz w:val="26"/>
          <w:szCs w:val="26"/>
          <w:lang w:eastAsia="en-US"/>
        </w:rPr>
        <w:t xml:space="preserve"> Шахунья.</w:t>
      </w:r>
      <w:proofErr w:type="gramEnd"/>
      <w:r w:rsidRPr="00730618">
        <w:rPr>
          <w:rFonts w:eastAsia="Calibri"/>
          <w:color w:val="000000" w:themeColor="text1"/>
          <w:sz w:val="26"/>
          <w:szCs w:val="26"/>
          <w:lang w:eastAsia="en-US"/>
        </w:rPr>
        <w:t xml:space="preserve"> В ходе проведения совещания И.А. </w:t>
      </w:r>
      <w:proofErr w:type="spellStart"/>
      <w:r w:rsidRPr="00730618">
        <w:rPr>
          <w:rFonts w:eastAsia="Calibri"/>
          <w:color w:val="000000" w:themeColor="text1"/>
          <w:sz w:val="26"/>
          <w:szCs w:val="26"/>
          <w:lang w:eastAsia="en-US"/>
        </w:rPr>
        <w:t>Волокитин</w:t>
      </w:r>
      <w:proofErr w:type="spellEnd"/>
      <w:r w:rsidRPr="00730618">
        <w:rPr>
          <w:rFonts w:eastAsia="Calibri"/>
          <w:color w:val="000000" w:themeColor="text1"/>
          <w:sz w:val="26"/>
          <w:szCs w:val="26"/>
          <w:lang w:eastAsia="en-US"/>
        </w:rPr>
        <w:t xml:space="preserve"> сообщил, что в  приказ от 06.11.2018 года № ВРК-3-359  будут внесены изменения. До настоящего времени изменения не внесены. </w:t>
      </w:r>
    </w:p>
    <w:p w:rsidR="00730618" w:rsidRPr="00730618" w:rsidRDefault="00730618" w:rsidP="00730618">
      <w:pPr>
        <w:spacing w:line="276" w:lineRule="auto"/>
        <w:ind w:firstLine="720"/>
        <w:jc w:val="both"/>
        <w:rPr>
          <w:rFonts w:eastAsia="Calibri"/>
          <w:color w:val="000000" w:themeColor="text1"/>
          <w:sz w:val="26"/>
          <w:szCs w:val="26"/>
          <w:lang w:eastAsia="en-US"/>
        </w:rPr>
      </w:pPr>
      <w:r w:rsidRPr="00730618">
        <w:rPr>
          <w:rFonts w:eastAsia="Calibri"/>
          <w:color w:val="000000" w:themeColor="text1"/>
          <w:sz w:val="26"/>
          <w:szCs w:val="26"/>
          <w:lang w:eastAsia="en-US"/>
        </w:rPr>
        <w:t xml:space="preserve">03 декабря 2018 года администрацией городского округа город Шахунья направлено обращение в АО «ВРК – 3» с просьбой проинформировать о принятом решении по вопросу сохранения деятельности </w:t>
      </w:r>
      <w:proofErr w:type="spellStart"/>
      <w:r w:rsidRPr="00730618">
        <w:rPr>
          <w:rFonts w:eastAsia="Calibri"/>
          <w:color w:val="000000" w:themeColor="text1"/>
          <w:sz w:val="26"/>
          <w:szCs w:val="26"/>
          <w:lang w:eastAsia="en-US"/>
        </w:rPr>
        <w:t>ВЧДр</w:t>
      </w:r>
      <w:proofErr w:type="spellEnd"/>
      <w:r w:rsidRPr="00730618">
        <w:rPr>
          <w:rFonts w:eastAsia="Calibri"/>
          <w:color w:val="000000" w:themeColor="text1"/>
          <w:sz w:val="26"/>
          <w:szCs w:val="26"/>
          <w:lang w:eastAsia="en-US"/>
        </w:rPr>
        <w:t xml:space="preserve"> Шахунья. В своем ответе руководство АО «ВРК-3»  проинформировали о том, что они не заинтересованы в сохранении деятельности  </w:t>
      </w:r>
      <w:proofErr w:type="spellStart"/>
      <w:r w:rsidRPr="00730618">
        <w:rPr>
          <w:rFonts w:eastAsia="Calibri"/>
          <w:color w:val="000000" w:themeColor="text1"/>
          <w:sz w:val="26"/>
          <w:szCs w:val="26"/>
          <w:lang w:eastAsia="en-US"/>
        </w:rPr>
        <w:t>ВЧДр</w:t>
      </w:r>
      <w:proofErr w:type="spellEnd"/>
      <w:r w:rsidRPr="00730618">
        <w:rPr>
          <w:rFonts w:eastAsia="Calibri"/>
          <w:color w:val="000000" w:themeColor="text1"/>
          <w:sz w:val="26"/>
          <w:szCs w:val="26"/>
          <w:lang w:eastAsia="en-US"/>
        </w:rPr>
        <w:t xml:space="preserve"> Шахунья и в настоящее время рассматривается вопрос о продаже имущественного комплекса депо Шахунья.</w:t>
      </w:r>
    </w:p>
    <w:p w:rsidR="00730618" w:rsidRPr="00730618" w:rsidRDefault="00730618" w:rsidP="00730618">
      <w:pPr>
        <w:spacing w:line="276" w:lineRule="auto"/>
        <w:ind w:firstLine="720"/>
        <w:jc w:val="both"/>
        <w:rPr>
          <w:rFonts w:eastAsia="Calibri"/>
          <w:color w:val="000000" w:themeColor="text1"/>
          <w:sz w:val="26"/>
          <w:szCs w:val="26"/>
          <w:lang w:eastAsia="en-US"/>
        </w:rPr>
      </w:pPr>
      <w:r w:rsidRPr="00730618">
        <w:rPr>
          <w:rFonts w:eastAsia="Calibri"/>
          <w:color w:val="000000" w:themeColor="text1"/>
          <w:sz w:val="26"/>
          <w:szCs w:val="26"/>
          <w:lang w:eastAsia="en-US"/>
        </w:rPr>
        <w:t xml:space="preserve">Министерством промышленности, торговли и предпринимательства Нижегородской области совместно с министерством транспорта и автомобильных дорог Нижегородской области, управлением по труду и занятости Нижегородской области, администрацией городского округа город Шахунья  14 декабря 2018 года было проведено совещание по вопросу урегулирования сложившейся ситуации. По итогам совещания руководству АО «ВРК-3» рекомендовано рассмотреть возможность продажи имущественного комплекса депо Шахунья частным инвесторам. Так же от Губернатора Нижегородской области Г.С. Никитина направлено генеральному директору ОАО «РЖД» О.В. Белозерову обращение  о рассмотрении возможности отмены решения о ликвидации </w:t>
      </w:r>
      <w:proofErr w:type="spellStart"/>
      <w:r w:rsidRPr="00730618">
        <w:rPr>
          <w:rFonts w:eastAsia="Calibri"/>
          <w:color w:val="000000" w:themeColor="text1"/>
          <w:sz w:val="26"/>
          <w:szCs w:val="26"/>
          <w:lang w:eastAsia="en-US"/>
        </w:rPr>
        <w:t>ВЧДр</w:t>
      </w:r>
      <w:proofErr w:type="spellEnd"/>
      <w:r w:rsidRPr="00730618">
        <w:rPr>
          <w:rFonts w:eastAsia="Calibri"/>
          <w:color w:val="000000" w:themeColor="text1"/>
          <w:sz w:val="26"/>
          <w:szCs w:val="26"/>
          <w:lang w:eastAsia="en-US"/>
        </w:rPr>
        <w:t xml:space="preserve"> Шахунья, либо оказании содействия в привлечении инвестора с сохранением профильного вида деятельности и численности работников предприятия. </w:t>
      </w:r>
    </w:p>
    <w:p w:rsidR="00730618" w:rsidRPr="00730618" w:rsidRDefault="00730618" w:rsidP="00730618">
      <w:pPr>
        <w:spacing w:line="276" w:lineRule="auto"/>
        <w:ind w:firstLine="720"/>
        <w:jc w:val="both"/>
        <w:rPr>
          <w:rFonts w:eastAsia="Calibri"/>
          <w:color w:val="000000" w:themeColor="text1"/>
          <w:sz w:val="26"/>
          <w:szCs w:val="26"/>
          <w:lang w:eastAsia="en-US"/>
        </w:rPr>
      </w:pPr>
      <w:r w:rsidRPr="00730618">
        <w:rPr>
          <w:rFonts w:eastAsia="Calibri"/>
          <w:color w:val="000000" w:themeColor="text1"/>
          <w:sz w:val="26"/>
          <w:szCs w:val="26"/>
          <w:lang w:eastAsia="en-US"/>
        </w:rPr>
        <w:t xml:space="preserve">01 марта 2019 года состоялось совещание под председательством вице-президента ОАО «РЖД» Старкова Андрея </w:t>
      </w:r>
      <w:proofErr w:type="spellStart"/>
      <w:r w:rsidRPr="00730618">
        <w:rPr>
          <w:rFonts w:eastAsia="Calibri"/>
          <w:color w:val="000000" w:themeColor="text1"/>
          <w:sz w:val="26"/>
          <w:szCs w:val="26"/>
          <w:lang w:eastAsia="en-US"/>
        </w:rPr>
        <w:t>Краснославовича</w:t>
      </w:r>
      <w:proofErr w:type="spellEnd"/>
      <w:r w:rsidRPr="00730618">
        <w:rPr>
          <w:rFonts w:eastAsia="Calibri"/>
          <w:color w:val="000000" w:themeColor="text1"/>
          <w:sz w:val="26"/>
          <w:szCs w:val="26"/>
          <w:lang w:eastAsia="en-US"/>
        </w:rPr>
        <w:t xml:space="preserve"> в присутствии вице-губернатора, первого заместителя </w:t>
      </w:r>
      <w:proofErr w:type="gramStart"/>
      <w:r w:rsidRPr="00730618">
        <w:rPr>
          <w:rFonts w:eastAsia="Calibri"/>
          <w:color w:val="000000" w:themeColor="text1"/>
          <w:sz w:val="26"/>
          <w:szCs w:val="26"/>
          <w:lang w:eastAsia="en-US"/>
        </w:rPr>
        <w:t>Председателя Правительства Нижегородской области Евгения Борисовича</w:t>
      </w:r>
      <w:proofErr w:type="gramEnd"/>
      <w:r w:rsidRPr="00730618">
        <w:rPr>
          <w:rFonts w:eastAsia="Calibri"/>
          <w:color w:val="000000" w:themeColor="text1"/>
          <w:sz w:val="26"/>
          <w:szCs w:val="26"/>
          <w:lang w:eastAsia="en-US"/>
        </w:rPr>
        <w:t xml:space="preserve"> </w:t>
      </w:r>
      <w:proofErr w:type="spellStart"/>
      <w:r w:rsidRPr="00730618">
        <w:rPr>
          <w:rFonts w:eastAsia="Calibri"/>
          <w:color w:val="000000" w:themeColor="text1"/>
          <w:sz w:val="26"/>
          <w:szCs w:val="26"/>
          <w:lang w:eastAsia="en-US"/>
        </w:rPr>
        <w:t>Люлина</w:t>
      </w:r>
      <w:proofErr w:type="spellEnd"/>
      <w:r w:rsidRPr="00730618">
        <w:rPr>
          <w:rFonts w:eastAsia="Calibri"/>
          <w:color w:val="000000" w:themeColor="text1"/>
          <w:sz w:val="26"/>
          <w:szCs w:val="26"/>
          <w:lang w:eastAsia="en-US"/>
        </w:rPr>
        <w:t xml:space="preserve"> по вопросу сложившейся ситуации, связанной с ликвидацией вагонного ремонтного депо в городе Шахунья. </w:t>
      </w:r>
      <w:proofErr w:type="gramStart"/>
      <w:r w:rsidRPr="00730618">
        <w:rPr>
          <w:rFonts w:eastAsia="Calibri"/>
          <w:color w:val="000000" w:themeColor="text1"/>
          <w:sz w:val="26"/>
          <w:szCs w:val="26"/>
          <w:lang w:eastAsia="en-US"/>
        </w:rPr>
        <w:t>По итогам этого совещания принято ряд решений, на оснований которых ООО «</w:t>
      </w:r>
      <w:proofErr w:type="spellStart"/>
      <w:r w:rsidRPr="00730618">
        <w:rPr>
          <w:rFonts w:eastAsia="Calibri"/>
          <w:color w:val="000000" w:themeColor="text1"/>
          <w:sz w:val="26"/>
          <w:szCs w:val="26"/>
          <w:lang w:eastAsia="en-US"/>
        </w:rPr>
        <w:t>Химмагистраль</w:t>
      </w:r>
      <w:proofErr w:type="spellEnd"/>
      <w:r w:rsidRPr="00730618">
        <w:rPr>
          <w:rFonts w:eastAsia="Calibri"/>
          <w:color w:val="000000" w:themeColor="text1"/>
          <w:sz w:val="26"/>
          <w:szCs w:val="26"/>
          <w:lang w:eastAsia="en-US"/>
        </w:rPr>
        <w:t xml:space="preserve"> (предприятие входит в холдинговую структуру АО «УК БХХ «</w:t>
      </w:r>
      <w:proofErr w:type="spellStart"/>
      <w:r w:rsidRPr="00730618">
        <w:rPr>
          <w:rFonts w:eastAsia="Calibri"/>
          <w:color w:val="000000" w:themeColor="text1"/>
          <w:sz w:val="26"/>
          <w:szCs w:val="26"/>
          <w:lang w:eastAsia="en-US"/>
        </w:rPr>
        <w:t>Оргхим</w:t>
      </w:r>
      <w:proofErr w:type="spellEnd"/>
      <w:r w:rsidRPr="00730618">
        <w:rPr>
          <w:rFonts w:eastAsia="Calibri"/>
          <w:color w:val="000000" w:themeColor="text1"/>
          <w:sz w:val="26"/>
          <w:szCs w:val="26"/>
          <w:lang w:eastAsia="en-US"/>
        </w:rPr>
        <w:t xml:space="preserve">») и АО «Русско-балтийский вагонный завод» провели технический аудит объектов основных средств на территории вагонного – ремонтного депо Шахунья для формирования коммерческих предложений по дальнейшему приобретению активов депо Шахунья и направили из для рассмотрения в АО «ВРК-3». </w:t>
      </w:r>
      <w:proofErr w:type="gramEnd"/>
    </w:p>
    <w:p w:rsidR="00730618" w:rsidRPr="00730618" w:rsidRDefault="00730618" w:rsidP="00730618">
      <w:pPr>
        <w:spacing w:line="276" w:lineRule="auto"/>
        <w:ind w:firstLine="720"/>
        <w:jc w:val="both"/>
        <w:rPr>
          <w:rFonts w:eastAsia="Calibri"/>
          <w:color w:val="000000" w:themeColor="text1"/>
          <w:sz w:val="26"/>
          <w:szCs w:val="26"/>
          <w:lang w:eastAsia="en-US"/>
        </w:rPr>
      </w:pPr>
      <w:r w:rsidRPr="00730618">
        <w:rPr>
          <w:rFonts w:eastAsia="Calibri"/>
          <w:color w:val="000000" w:themeColor="text1"/>
          <w:sz w:val="26"/>
          <w:szCs w:val="26"/>
          <w:lang w:eastAsia="en-US"/>
        </w:rPr>
        <w:t xml:space="preserve">15 марта 2019 года АО «ВРК-3» был подготовлен и направлен в администрацию городского округа город Шахунья на подписание План мероприятий (дорожная карта) по организации серийного производства инновационных композиционных </w:t>
      </w:r>
      <w:proofErr w:type="gramStart"/>
      <w:r w:rsidRPr="00730618">
        <w:rPr>
          <w:rFonts w:eastAsia="Calibri"/>
          <w:color w:val="000000" w:themeColor="text1"/>
          <w:sz w:val="26"/>
          <w:szCs w:val="26"/>
          <w:lang w:eastAsia="en-US"/>
        </w:rPr>
        <w:t>танк-контейнеров</w:t>
      </w:r>
      <w:proofErr w:type="gramEnd"/>
      <w:r w:rsidRPr="00730618">
        <w:rPr>
          <w:rFonts w:eastAsia="Calibri"/>
          <w:color w:val="000000" w:themeColor="text1"/>
          <w:sz w:val="26"/>
          <w:szCs w:val="26"/>
          <w:lang w:eastAsia="en-US"/>
        </w:rPr>
        <w:t xml:space="preserve"> и вагонов-хопперов на территории вагонного ремонтного депо Шахунья. Со стороны администрации городского округа город Шахунья данный документ подписан и направлен в АО «ВРК-3».</w:t>
      </w:r>
    </w:p>
    <w:p w:rsidR="00730618" w:rsidRPr="00730618" w:rsidRDefault="00730618" w:rsidP="00730618">
      <w:pPr>
        <w:spacing w:line="276" w:lineRule="auto"/>
        <w:ind w:firstLine="720"/>
        <w:jc w:val="both"/>
        <w:rPr>
          <w:rFonts w:eastAsia="Calibri"/>
          <w:color w:val="000000" w:themeColor="text1"/>
          <w:sz w:val="26"/>
          <w:szCs w:val="26"/>
          <w:lang w:eastAsia="en-US"/>
        </w:rPr>
      </w:pPr>
    </w:p>
    <w:p w:rsidR="00730618" w:rsidRPr="00730618" w:rsidRDefault="00730618" w:rsidP="00730618">
      <w:pPr>
        <w:spacing w:line="276" w:lineRule="auto"/>
        <w:ind w:firstLine="720"/>
        <w:jc w:val="both"/>
        <w:rPr>
          <w:rFonts w:cs="Courier New"/>
          <w:color w:val="000000" w:themeColor="text1"/>
          <w:sz w:val="26"/>
          <w:szCs w:val="26"/>
        </w:rPr>
      </w:pPr>
      <w:r w:rsidRPr="00730618">
        <w:rPr>
          <w:rFonts w:cs="Courier New"/>
          <w:color w:val="000000" w:themeColor="text1"/>
          <w:sz w:val="26"/>
          <w:szCs w:val="26"/>
        </w:rPr>
        <w:lastRenderedPageBreak/>
        <w:t xml:space="preserve">Объем работ, выполненный предприятиями и организациями по виду деятельности «Строительство» за 2018 год составляет 35,9 </w:t>
      </w:r>
      <w:proofErr w:type="spellStart"/>
      <w:r w:rsidRPr="00730618">
        <w:rPr>
          <w:rFonts w:cs="Courier New"/>
          <w:color w:val="000000" w:themeColor="text1"/>
          <w:sz w:val="26"/>
          <w:szCs w:val="26"/>
        </w:rPr>
        <w:t>млн</w:t>
      </w:r>
      <w:proofErr w:type="gramStart"/>
      <w:r w:rsidRPr="00730618">
        <w:rPr>
          <w:rFonts w:cs="Courier New"/>
          <w:color w:val="000000" w:themeColor="text1"/>
          <w:sz w:val="26"/>
          <w:szCs w:val="26"/>
        </w:rPr>
        <w:t>.р</w:t>
      </w:r>
      <w:proofErr w:type="gramEnd"/>
      <w:r w:rsidRPr="00730618">
        <w:rPr>
          <w:rFonts w:cs="Courier New"/>
          <w:color w:val="000000" w:themeColor="text1"/>
          <w:sz w:val="26"/>
          <w:szCs w:val="26"/>
        </w:rPr>
        <w:t>ублей</w:t>
      </w:r>
      <w:proofErr w:type="spellEnd"/>
      <w:r w:rsidRPr="00730618">
        <w:rPr>
          <w:rFonts w:cs="Courier New"/>
          <w:color w:val="000000" w:themeColor="text1"/>
          <w:sz w:val="26"/>
          <w:szCs w:val="26"/>
        </w:rPr>
        <w:t xml:space="preserve"> (36,3% к уровню 2017 года в сопоставимых ценах). Весь объем работ по виду деятельности «Строительство» выполнен субъектами малого предпринимательства.</w:t>
      </w:r>
    </w:p>
    <w:p w:rsidR="00730618" w:rsidRPr="00730618" w:rsidRDefault="00730618" w:rsidP="00730618">
      <w:pPr>
        <w:spacing w:line="276" w:lineRule="auto"/>
        <w:ind w:firstLine="720"/>
        <w:jc w:val="both"/>
        <w:rPr>
          <w:rFonts w:cs="Courier New"/>
          <w:color w:val="000000" w:themeColor="text1"/>
          <w:sz w:val="26"/>
          <w:szCs w:val="26"/>
        </w:rPr>
      </w:pPr>
      <w:r w:rsidRPr="00730618">
        <w:rPr>
          <w:rFonts w:cs="Courier New"/>
          <w:color w:val="000000" w:themeColor="text1"/>
          <w:sz w:val="26"/>
          <w:szCs w:val="26"/>
        </w:rPr>
        <w:t>В течение 2018 года в городском округе город Шахунья  был построен 21 дом на 32 квартиры общей площадью 3,1 млн. кв. метров. Населением было построено 20 домов общей площадью 2,7 млн. кв. метров, что больше уровня прошлого года на 30,8%. В общем объеме построенного жилья индивидуальное строительство составило 87,9%.</w:t>
      </w:r>
    </w:p>
    <w:p w:rsidR="00730618" w:rsidRPr="00730618" w:rsidRDefault="00730618" w:rsidP="00730618">
      <w:pPr>
        <w:spacing w:line="276" w:lineRule="auto"/>
        <w:ind w:firstLine="720"/>
        <w:jc w:val="both"/>
        <w:rPr>
          <w:rFonts w:cs="Courier New"/>
          <w:color w:val="000000" w:themeColor="text1"/>
          <w:sz w:val="26"/>
          <w:szCs w:val="26"/>
        </w:rPr>
      </w:pPr>
      <w:r w:rsidRPr="00730618">
        <w:rPr>
          <w:rFonts w:cs="Courier New"/>
          <w:color w:val="000000" w:themeColor="text1"/>
          <w:sz w:val="26"/>
          <w:szCs w:val="26"/>
        </w:rPr>
        <w:tab/>
      </w:r>
    </w:p>
    <w:p w:rsidR="00730618" w:rsidRPr="00730618" w:rsidRDefault="00730618" w:rsidP="00730618">
      <w:pPr>
        <w:spacing w:line="276" w:lineRule="auto"/>
        <w:ind w:firstLine="720"/>
        <w:jc w:val="both"/>
        <w:rPr>
          <w:rFonts w:cs="Courier New"/>
          <w:color w:val="000000" w:themeColor="text1"/>
          <w:sz w:val="26"/>
          <w:szCs w:val="26"/>
        </w:rPr>
      </w:pPr>
      <w:r w:rsidRPr="00730618">
        <w:rPr>
          <w:rFonts w:cs="Courier New"/>
          <w:color w:val="000000" w:themeColor="text1"/>
          <w:sz w:val="26"/>
          <w:szCs w:val="26"/>
        </w:rPr>
        <w:t>Малый бизнес играет важную роль в решении экономических и социальных задач в городском округе город Шахунья, так как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городского округа, стабильность налоговых и неналоговых поступлений. Развитие предпринимательства является одной из приоритетных задач социально-экономического развития городского округа город Шахунья.</w:t>
      </w:r>
    </w:p>
    <w:p w:rsidR="00730618" w:rsidRPr="00730618" w:rsidRDefault="00730618" w:rsidP="00730618">
      <w:pPr>
        <w:spacing w:line="276" w:lineRule="auto"/>
        <w:ind w:firstLine="720"/>
        <w:jc w:val="both"/>
        <w:rPr>
          <w:rFonts w:cs="Courier New"/>
          <w:color w:val="000000" w:themeColor="text1"/>
          <w:sz w:val="26"/>
          <w:szCs w:val="26"/>
        </w:rPr>
      </w:pPr>
      <w:proofErr w:type="gramStart"/>
      <w:r w:rsidRPr="00730618">
        <w:rPr>
          <w:rFonts w:cs="Courier New"/>
          <w:color w:val="000000" w:themeColor="text1"/>
          <w:sz w:val="26"/>
          <w:szCs w:val="26"/>
        </w:rPr>
        <w:t>В 2018 году предприятиями и организациями городского округа город  Шахунья, относящимися к субъектам малого бизнеса, отгружено товаров собственного производства, выполнено работ и услуг собственными силами на сумму 1 516,4 млн. рублей, что ниже уровня 2017 года на 3,4%. Доля малого предпринимательства в общем объеме отгруженной продукции по итогам 2018 года составляет 26,8% (2017 год – 21,0%)</w:t>
      </w:r>
      <w:proofErr w:type="gramEnd"/>
    </w:p>
    <w:p w:rsidR="00730618" w:rsidRPr="00730618" w:rsidRDefault="00730618" w:rsidP="00730618">
      <w:pPr>
        <w:spacing w:line="276" w:lineRule="auto"/>
        <w:ind w:firstLine="720"/>
        <w:jc w:val="both"/>
        <w:rPr>
          <w:rFonts w:cs="Courier New"/>
          <w:color w:val="000000" w:themeColor="text1"/>
          <w:sz w:val="26"/>
          <w:szCs w:val="26"/>
        </w:rPr>
      </w:pPr>
      <w:r w:rsidRPr="00730618">
        <w:rPr>
          <w:rFonts w:cs="Courier New"/>
          <w:color w:val="000000" w:themeColor="text1"/>
          <w:sz w:val="26"/>
          <w:szCs w:val="26"/>
        </w:rPr>
        <w:t>На начало 2019 года в городском округе зарегистрировано 975 структур малого и среднего предпринимательства, с численностью занятых более 5 тысячи человек, что составляет 49,5% от общего числа занятых во всех отраслях экономики городского округа.</w:t>
      </w:r>
    </w:p>
    <w:p w:rsidR="00730618" w:rsidRPr="00730618" w:rsidRDefault="00730618" w:rsidP="00730618">
      <w:pPr>
        <w:spacing w:line="276" w:lineRule="auto"/>
        <w:ind w:firstLine="720"/>
        <w:jc w:val="both"/>
        <w:rPr>
          <w:rFonts w:cs="Courier New"/>
          <w:color w:val="000000" w:themeColor="text1"/>
          <w:sz w:val="26"/>
          <w:szCs w:val="26"/>
        </w:rPr>
      </w:pPr>
      <w:r w:rsidRPr="00730618">
        <w:rPr>
          <w:rFonts w:cs="Courier New"/>
          <w:color w:val="000000" w:themeColor="text1"/>
          <w:sz w:val="26"/>
          <w:szCs w:val="26"/>
        </w:rPr>
        <w:t>С 2007 года на территории городского округа город Шахунья осуществляет деятельность автономная некоммерческая организация «</w:t>
      </w:r>
      <w:proofErr w:type="spellStart"/>
      <w:r w:rsidRPr="00730618">
        <w:rPr>
          <w:rFonts w:cs="Courier New"/>
          <w:color w:val="000000" w:themeColor="text1"/>
          <w:sz w:val="26"/>
          <w:szCs w:val="26"/>
        </w:rPr>
        <w:t>Шахунский</w:t>
      </w:r>
      <w:proofErr w:type="spellEnd"/>
      <w:r w:rsidRPr="00730618">
        <w:rPr>
          <w:rFonts w:cs="Courier New"/>
          <w:color w:val="000000" w:themeColor="text1"/>
          <w:sz w:val="26"/>
          <w:szCs w:val="26"/>
        </w:rPr>
        <w:t xml:space="preserve"> центр развития бизнеса», который оказывает всестороннюю поддержку субъектам предпринимательства.</w:t>
      </w:r>
    </w:p>
    <w:p w:rsidR="00730618" w:rsidRPr="00730618" w:rsidRDefault="00730618" w:rsidP="00730618">
      <w:pPr>
        <w:spacing w:line="276" w:lineRule="auto"/>
        <w:ind w:firstLine="720"/>
        <w:jc w:val="both"/>
        <w:rPr>
          <w:rFonts w:cs="Courier New"/>
          <w:color w:val="000000" w:themeColor="text1"/>
          <w:sz w:val="26"/>
          <w:szCs w:val="26"/>
        </w:rPr>
      </w:pPr>
      <w:r w:rsidRPr="00730618">
        <w:rPr>
          <w:rFonts w:cs="Courier New"/>
          <w:color w:val="000000" w:themeColor="text1"/>
          <w:sz w:val="26"/>
          <w:szCs w:val="26"/>
        </w:rPr>
        <w:t>В 2018 году по результатам конкурса «Активное поколение Нижегородской губернии», объявленного Министерством внутренней региональной и муниципальной политики Нижегородской области между Управлением делами Правительства и развития кадрового потенциала Нижегородской области и АНО «</w:t>
      </w:r>
      <w:proofErr w:type="spellStart"/>
      <w:r w:rsidRPr="00730618">
        <w:rPr>
          <w:rFonts w:cs="Courier New"/>
          <w:color w:val="000000" w:themeColor="text1"/>
          <w:sz w:val="26"/>
          <w:szCs w:val="26"/>
        </w:rPr>
        <w:t>Шахунский</w:t>
      </w:r>
      <w:proofErr w:type="spellEnd"/>
      <w:r w:rsidRPr="00730618">
        <w:rPr>
          <w:rFonts w:cs="Courier New"/>
          <w:color w:val="000000" w:themeColor="text1"/>
          <w:sz w:val="26"/>
          <w:szCs w:val="26"/>
        </w:rPr>
        <w:t xml:space="preserve"> центр развития бизнеса» было подписано соглашение о предоставлении из областного бюджета гранта в форме субсидии некоммерческой организации. В рамках реализации соглашения на территории городского округа город Шахунья среди людей старшего поколения округа АНО «</w:t>
      </w:r>
      <w:proofErr w:type="spellStart"/>
      <w:r w:rsidRPr="00730618">
        <w:rPr>
          <w:rFonts w:cs="Courier New"/>
          <w:color w:val="000000" w:themeColor="text1"/>
          <w:sz w:val="26"/>
          <w:szCs w:val="26"/>
        </w:rPr>
        <w:t>Шахунский</w:t>
      </w:r>
      <w:proofErr w:type="spellEnd"/>
      <w:r w:rsidRPr="00730618">
        <w:rPr>
          <w:rFonts w:cs="Courier New"/>
          <w:color w:val="000000" w:themeColor="text1"/>
          <w:sz w:val="26"/>
          <w:szCs w:val="26"/>
        </w:rPr>
        <w:t xml:space="preserve"> центр развития бизнеса» был реализован проект «#</w:t>
      </w:r>
      <w:proofErr w:type="spellStart"/>
      <w:r w:rsidRPr="00730618">
        <w:rPr>
          <w:rFonts w:cs="Courier New"/>
          <w:color w:val="000000" w:themeColor="text1"/>
          <w:sz w:val="26"/>
          <w:szCs w:val="26"/>
        </w:rPr>
        <w:t>Шахунья</w:t>
      </w:r>
      <w:proofErr w:type="gramStart"/>
      <w:r w:rsidRPr="00730618">
        <w:rPr>
          <w:rFonts w:cs="Courier New"/>
          <w:color w:val="000000" w:themeColor="text1"/>
          <w:sz w:val="26"/>
          <w:szCs w:val="26"/>
        </w:rPr>
        <w:t>StartUp</w:t>
      </w:r>
      <w:proofErr w:type="spellEnd"/>
      <w:proofErr w:type="gramEnd"/>
      <w:r w:rsidRPr="00730618">
        <w:rPr>
          <w:rFonts w:cs="Courier New"/>
          <w:color w:val="000000" w:themeColor="text1"/>
          <w:sz w:val="26"/>
          <w:szCs w:val="26"/>
        </w:rPr>
        <w:t xml:space="preserve">». </w:t>
      </w:r>
    </w:p>
    <w:p w:rsidR="00730618" w:rsidRPr="00730618" w:rsidRDefault="00730618" w:rsidP="00730618">
      <w:pPr>
        <w:spacing w:line="276" w:lineRule="auto"/>
        <w:ind w:firstLine="720"/>
        <w:jc w:val="both"/>
        <w:rPr>
          <w:rFonts w:cs="Courier New"/>
          <w:color w:val="000000" w:themeColor="text1"/>
          <w:sz w:val="26"/>
          <w:szCs w:val="26"/>
        </w:rPr>
      </w:pPr>
      <w:r w:rsidRPr="00730618">
        <w:rPr>
          <w:rFonts w:cs="Courier New"/>
          <w:color w:val="000000" w:themeColor="text1"/>
          <w:sz w:val="26"/>
          <w:szCs w:val="26"/>
        </w:rPr>
        <w:t xml:space="preserve">Для повышения </w:t>
      </w:r>
      <w:proofErr w:type="gramStart"/>
      <w:r w:rsidRPr="00730618">
        <w:rPr>
          <w:rFonts w:cs="Courier New"/>
          <w:color w:val="000000" w:themeColor="text1"/>
          <w:sz w:val="26"/>
          <w:szCs w:val="26"/>
        </w:rPr>
        <w:t>эффективности деятельности организаций инфраструктуры поддержки предпринимательства</w:t>
      </w:r>
      <w:proofErr w:type="gramEnd"/>
      <w:r w:rsidRPr="00730618">
        <w:rPr>
          <w:rFonts w:cs="Courier New"/>
          <w:color w:val="000000" w:themeColor="text1"/>
          <w:sz w:val="26"/>
          <w:szCs w:val="26"/>
        </w:rPr>
        <w:t xml:space="preserve"> между автономной некоммерческой организацией «</w:t>
      </w:r>
      <w:proofErr w:type="spellStart"/>
      <w:r w:rsidRPr="00730618">
        <w:rPr>
          <w:rFonts w:cs="Courier New"/>
          <w:color w:val="000000" w:themeColor="text1"/>
          <w:sz w:val="26"/>
          <w:szCs w:val="26"/>
        </w:rPr>
        <w:t>Шахунский</w:t>
      </w:r>
      <w:proofErr w:type="spellEnd"/>
      <w:r w:rsidRPr="00730618">
        <w:rPr>
          <w:rFonts w:cs="Courier New"/>
          <w:color w:val="000000" w:themeColor="text1"/>
          <w:sz w:val="26"/>
          <w:szCs w:val="26"/>
        </w:rPr>
        <w:t xml:space="preserve"> центр развития бизнеса» и Агентством по развитию системы гарантий для субъектов малого предпринимательства Нижегородской области было заключено соглашение о сотрудничестве. В результате этого предприниматели городского округа город Шахунья имеют возможность получить </w:t>
      </w:r>
      <w:proofErr w:type="spellStart"/>
      <w:r w:rsidRPr="00730618">
        <w:rPr>
          <w:rFonts w:cs="Courier New"/>
          <w:color w:val="000000" w:themeColor="text1"/>
          <w:sz w:val="26"/>
          <w:szCs w:val="26"/>
        </w:rPr>
        <w:t>микрозаймы</w:t>
      </w:r>
      <w:proofErr w:type="spellEnd"/>
      <w:r w:rsidRPr="00730618">
        <w:rPr>
          <w:rFonts w:cs="Courier New"/>
          <w:color w:val="000000" w:themeColor="text1"/>
          <w:sz w:val="26"/>
          <w:szCs w:val="26"/>
        </w:rPr>
        <w:t xml:space="preserve">, оформляя документы через </w:t>
      </w:r>
      <w:proofErr w:type="spellStart"/>
      <w:r w:rsidRPr="00730618">
        <w:rPr>
          <w:rFonts w:cs="Courier New"/>
          <w:color w:val="000000" w:themeColor="text1"/>
          <w:sz w:val="26"/>
          <w:szCs w:val="26"/>
        </w:rPr>
        <w:t>Шахунский</w:t>
      </w:r>
      <w:proofErr w:type="spellEnd"/>
      <w:r w:rsidRPr="00730618">
        <w:rPr>
          <w:rFonts w:cs="Courier New"/>
          <w:color w:val="000000" w:themeColor="text1"/>
          <w:sz w:val="26"/>
          <w:szCs w:val="26"/>
        </w:rPr>
        <w:t xml:space="preserve"> </w:t>
      </w:r>
      <w:proofErr w:type="spellStart"/>
      <w:r w:rsidRPr="00730618">
        <w:rPr>
          <w:rFonts w:cs="Courier New"/>
          <w:color w:val="000000" w:themeColor="text1"/>
          <w:sz w:val="26"/>
          <w:szCs w:val="26"/>
        </w:rPr>
        <w:t>бизнесцентр</w:t>
      </w:r>
      <w:proofErr w:type="spellEnd"/>
      <w:r w:rsidRPr="00730618">
        <w:rPr>
          <w:rFonts w:cs="Courier New"/>
          <w:color w:val="000000" w:themeColor="text1"/>
          <w:sz w:val="26"/>
          <w:szCs w:val="26"/>
        </w:rPr>
        <w:t xml:space="preserve">. В 2018 году 2 предпринимателя воспользовались данной </w:t>
      </w:r>
      <w:r w:rsidRPr="00730618">
        <w:rPr>
          <w:rFonts w:cs="Courier New"/>
          <w:color w:val="000000" w:themeColor="text1"/>
          <w:sz w:val="26"/>
          <w:szCs w:val="26"/>
        </w:rPr>
        <w:lastRenderedPageBreak/>
        <w:t xml:space="preserve">услугой и получили </w:t>
      </w:r>
      <w:proofErr w:type="spellStart"/>
      <w:r w:rsidRPr="00730618">
        <w:rPr>
          <w:rFonts w:cs="Courier New"/>
          <w:color w:val="000000" w:themeColor="text1"/>
          <w:sz w:val="26"/>
          <w:szCs w:val="26"/>
        </w:rPr>
        <w:t>микрозаймы</w:t>
      </w:r>
      <w:proofErr w:type="spellEnd"/>
      <w:r w:rsidRPr="00730618">
        <w:rPr>
          <w:rFonts w:cs="Courier New"/>
          <w:color w:val="000000" w:themeColor="text1"/>
          <w:sz w:val="26"/>
          <w:szCs w:val="26"/>
        </w:rPr>
        <w:t xml:space="preserve"> на общую сумму 3,2 млн. рублей (2017 год - 2,4 млн. рублей).</w:t>
      </w:r>
    </w:p>
    <w:p w:rsidR="00730618" w:rsidRPr="00730618" w:rsidRDefault="00730618" w:rsidP="00730618">
      <w:pPr>
        <w:spacing w:line="276" w:lineRule="auto"/>
        <w:ind w:firstLine="720"/>
        <w:jc w:val="both"/>
        <w:rPr>
          <w:rFonts w:cs="Courier New"/>
          <w:color w:val="000000" w:themeColor="text1"/>
          <w:sz w:val="26"/>
          <w:szCs w:val="26"/>
        </w:rPr>
      </w:pPr>
      <w:r w:rsidRPr="00730618">
        <w:rPr>
          <w:rFonts w:cs="Courier New"/>
          <w:color w:val="000000" w:themeColor="text1"/>
          <w:sz w:val="26"/>
          <w:szCs w:val="26"/>
        </w:rPr>
        <w:t xml:space="preserve">В целях популяризации и в рамках муниципальной программы поддержки предпринимательства в городском округе город Шахунья  состоялся конкурс «Торговая марка года –2018».  На территории городского округа, впрочем, как и на севере всей Нижегородской </w:t>
      </w:r>
      <w:proofErr w:type="gramStart"/>
      <w:r w:rsidRPr="00730618">
        <w:rPr>
          <w:rFonts w:cs="Courier New"/>
          <w:color w:val="000000" w:themeColor="text1"/>
          <w:sz w:val="26"/>
          <w:szCs w:val="26"/>
        </w:rPr>
        <w:t>области</w:t>
      </w:r>
      <w:proofErr w:type="gramEnd"/>
      <w:r w:rsidRPr="00730618">
        <w:rPr>
          <w:rFonts w:cs="Courier New"/>
          <w:color w:val="000000" w:themeColor="text1"/>
          <w:sz w:val="26"/>
          <w:szCs w:val="26"/>
        </w:rPr>
        <w:t xml:space="preserve"> этот конкурс проводится впервые. 23 ноября в кинозале МАУ ФОК «Атлант» были подведены итоги данного  конкурса. В дальнейшем он запланирован как традиционный, планируется так же расширить состав участников и номинации, тем самым стараясь охватить как можно больше сфер малого и среднего бизнеса. Основными задачами конкурса являются поддержка местных товаропроизводителей, возможность продемонстрировать и прорекламировать продукцию своего предприятия.</w:t>
      </w:r>
    </w:p>
    <w:p w:rsidR="00730618" w:rsidRPr="00730618" w:rsidRDefault="00730618" w:rsidP="00730618">
      <w:pPr>
        <w:spacing w:line="276" w:lineRule="auto"/>
        <w:ind w:firstLine="720"/>
        <w:jc w:val="both"/>
        <w:rPr>
          <w:color w:val="000000" w:themeColor="text1"/>
          <w:sz w:val="26"/>
          <w:szCs w:val="26"/>
        </w:rPr>
      </w:pPr>
      <w:r w:rsidRPr="00730618">
        <w:rPr>
          <w:color w:val="000000" w:themeColor="text1"/>
          <w:sz w:val="26"/>
          <w:szCs w:val="26"/>
        </w:rPr>
        <w:t xml:space="preserve">Значительная роль в экономике городского округа принадлежит агропромышленному комплексу. </w:t>
      </w:r>
    </w:p>
    <w:p w:rsidR="00730618" w:rsidRPr="00730618" w:rsidRDefault="00730618" w:rsidP="00730618">
      <w:pPr>
        <w:spacing w:line="276" w:lineRule="auto"/>
        <w:ind w:firstLine="720"/>
        <w:jc w:val="both"/>
        <w:rPr>
          <w:color w:val="000000" w:themeColor="text1"/>
          <w:sz w:val="26"/>
          <w:szCs w:val="26"/>
        </w:rPr>
      </w:pPr>
      <w:r w:rsidRPr="00730618">
        <w:rPr>
          <w:color w:val="000000" w:themeColor="text1"/>
          <w:sz w:val="26"/>
          <w:szCs w:val="26"/>
        </w:rPr>
        <w:t xml:space="preserve">Объем валовой продукции сельского хозяйства за 2018 год составил в действующих ценах 561,0 </w:t>
      </w:r>
      <w:proofErr w:type="spellStart"/>
      <w:r w:rsidRPr="00730618">
        <w:rPr>
          <w:color w:val="000000" w:themeColor="text1"/>
          <w:sz w:val="26"/>
          <w:szCs w:val="26"/>
        </w:rPr>
        <w:t>млн</w:t>
      </w:r>
      <w:proofErr w:type="gramStart"/>
      <w:r w:rsidRPr="00730618">
        <w:rPr>
          <w:color w:val="000000" w:themeColor="text1"/>
          <w:sz w:val="26"/>
          <w:szCs w:val="26"/>
        </w:rPr>
        <w:t>.р</w:t>
      </w:r>
      <w:proofErr w:type="gramEnd"/>
      <w:r w:rsidRPr="00730618">
        <w:rPr>
          <w:color w:val="000000" w:themeColor="text1"/>
          <w:sz w:val="26"/>
          <w:szCs w:val="26"/>
        </w:rPr>
        <w:t>ублей</w:t>
      </w:r>
      <w:proofErr w:type="spellEnd"/>
      <w:r w:rsidRPr="00730618">
        <w:rPr>
          <w:color w:val="000000" w:themeColor="text1"/>
          <w:sz w:val="26"/>
          <w:szCs w:val="26"/>
        </w:rPr>
        <w:t xml:space="preserve">, в сопоставимых  - 101,0%, в </w:t>
      </w:r>
      <w:proofErr w:type="spellStart"/>
      <w:r w:rsidRPr="00730618">
        <w:rPr>
          <w:color w:val="000000" w:themeColor="text1"/>
          <w:sz w:val="26"/>
          <w:szCs w:val="26"/>
        </w:rPr>
        <w:t>т.ч</w:t>
      </w:r>
      <w:proofErr w:type="spellEnd"/>
      <w:r w:rsidRPr="00730618">
        <w:rPr>
          <w:color w:val="000000" w:themeColor="text1"/>
          <w:sz w:val="26"/>
          <w:szCs w:val="26"/>
        </w:rPr>
        <w:t xml:space="preserve">. по сельскохозяйственным предприятиям – 268,0 млн. рублей в действующих ценах или 105,1% в сопоставимых ценах. </w:t>
      </w:r>
    </w:p>
    <w:p w:rsidR="00730618" w:rsidRPr="00730618" w:rsidRDefault="00730618" w:rsidP="00730618">
      <w:pPr>
        <w:spacing w:line="276" w:lineRule="auto"/>
        <w:ind w:firstLine="720"/>
        <w:jc w:val="both"/>
        <w:rPr>
          <w:color w:val="000000" w:themeColor="text1"/>
          <w:sz w:val="26"/>
          <w:szCs w:val="26"/>
        </w:rPr>
      </w:pPr>
      <w:r w:rsidRPr="00730618">
        <w:rPr>
          <w:color w:val="000000" w:themeColor="text1"/>
          <w:sz w:val="26"/>
          <w:szCs w:val="26"/>
        </w:rPr>
        <w:t xml:space="preserve">В 2018 году сельхозпроизводителями всех форм собственности произведено 8,5 тысяч тонн молока и 588,7 тонн мяса скота и птицы и 5,5  тысяч тонн зерна. </w:t>
      </w:r>
    </w:p>
    <w:p w:rsidR="00730618" w:rsidRPr="00730618" w:rsidRDefault="00730618" w:rsidP="00730618">
      <w:pPr>
        <w:spacing w:line="276" w:lineRule="auto"/>
        <w:ind w:firstLine="720"/>
        <w:jc w:val="both"/>
        <w:rPr>
          <w:color w:val="000000" w:themeColor="text1"/>
          <w:sz w:val="26"/>
          <w:szCs w:val="26"/>
        </w:rPr>
      </w:pPr>
      <w:r w:rsidRPr="00730618">
        <w:rPr>
          <w:color w:val="000000" w:themeColor="text1"/>
          <w:sz w:val="26"/>
          <w:szCs w:val="26"/>
        </w:rPr>
        <w:t>Все сельскохозяйственные предприятия городского округа по итогам 2018 года сработали с прибылью. Сумма прибыли сельскохозяйственных предприятий  по итогам 2018 года составила 31,5 млн. рублей (2017 год - 23,4 млн. рублей). Наибольшая прибыль получена СПК «Новый Путь» - 17,4 млн. рублей.</w:t>
      </w:r>
    </w:p>
    <w:p w:rsidR="00730618" w:rsidRPr="00730618" w:rsidRDefault="00730618" w:rsidP="00730618">
      <w:pPr>
        <w:spacing w:line="276" w:lineRule="auto"/>
        <w:ind w:firstLine="720"/>
        <w:jc w:val="both"/>
        <w:rPr>
          <w:rFonts w:cs="Courier New"/>
          <w:color w:val="000000" w:themeColor="text1"/>
          <w:sz w:val="26"/>
          <w:szCs w:val="26"/>
        </w:rPr>
      </w:pPr>
      <w:r w:rsidRPr="00730618">
        <w:rPr>
          <w:rFonts w:cs="Courier New"/>
          <w:color w:val="000000" w:themeColor="text1"/>
          <w:sz w:val="26"/>
          <w:szCs w:val="26"/>
        </w:rPr>
        <w:t xml:space="preserve">Фонд оплаты труда по итогам 2018 года составил 2 613,3 млн. рублей.        </w:t>
      </w:r>
    </w:p>
    <w:p w:rsidR="00730618" w:rsidRPr="00730618" w:rsidRDefault="00730618" w:rsidP="00730618">
      <w:pPr>
        <w:spacing w:line="276" w:lineRule="auto"/>
        <w:ind w:firstLine="720"/>
        <w:jc w:val="both"/>
        <w:rPr>
          <w:rFonts w:cs="Courier New"/>
          <w:color w:val="000000" w:themeColor="text1"/>
          <w:sz w:val="26"/>
          <w:szCs w:val="26"/>
        </w:rPr>
      </w:pPr>
      <w:r w:rsidRPr="00730618">
        <w:rPr>
          <w:rFonts w:cs="Courier New"/>
          <w:color w:val="000000" w:themeColor="text1"/>
          <w:sz w:val="26"/>
          <w:szCs w:val="26"/>
        </w:rPr>
        <w:t>Среднесписочная численность работающих на предприятиях и организациях городского округа город Шахунья составила 11 251человек.</w:t>
      </w:r>
    </w:p>
    <w:p w:rsidR="00730618" w:rsidRPr="00730618" w:rsidRDefault="00730618" w:rsidP="00730618">
      <w:pPr>
        <w:spacing w:line="276" w:lineRule="auto"/>
        <w:ind w:firstLine="720"/>
        <w:jc w:val="both"/>
        <w:rPr>
          <w:rFonts w:cs="Courier New"/>
          <w:color w:val="000000" w:themeColor="text1"/>
          <w:sz w:val="26"/>
          <w:szCs w:val="26"/>
        </w:rPr>
      </w:pPr>
      <w:r w:rsidRPr="00730618">
        <w:rPr>
          <w:rFonts w:cs="Courier New"/>
          <w:color w:val="000000" w:themeColor="text1"/>
          <w:sz w:val="26"/>
          <w:szCs w:val="26"/>
        </w:rPr>
        <w:t>В 2018 году сохранена положительная динамика роста доходов населения. Средняя заработная плата работников предприятий и организаций городского округа город Шахунья за январь-декабрь 2018 года составила 19 355,54 рубль.</w:t>
      </w:r>
    </w:p>
    <w:p w:rsidR="00730618" w:rsidRPr="00730618" w:rsidRDefault="00730618" w:rsidP="00730618">
      <w:pPr>
        <w:spacing w:line="276" w:lineRule="auto"/>
        <w:ind w:firstLine="720"/>
        <w:jc w:val="both"/>
        <w:rPr>
          <w:rFonts w:cs="Courier New"/>
          <w:color w:val="000000" w:themeColor="text1"/>
          <w:sz w:val="26"/>
          <w:szCs w:val="26"/>
        </w:rPr>
      </w:pPr>
      <w:r w:rsidRPr="00730618">
        <w:rPr>
          <w:rFonts w:cs="Courier New"/>
          <w:color w:val="000000" w:themeColor="text1"/>
          <w:sz w:val="26"/>
          <w:szCs w:val="26"/>
        </w:rPr>
        <w:t>Средняя заработная плата работников по крупным и средним предприятиям и организациям городского округа город Шахунья увеличилась по сравнению с уровнем 2017 года на  14% и составила 24 084,49 рублей.</w:t>
      </w:r>
    </w:p>
    <w:p w:rsidR="00730618" w:rsidRPr="00730618" w:rsidRDefault="00730618" w:rsidP="00730618">
      <w:pPr>
        <w:spacing w:line="276" w:lineRule="auto"/>
        <w:ind w:firstLine="720"/>
        <w:jc w:val="both"/>
        <w:rPr>
          <w:color w:val="000000" w:themeColor="text1"/>
          <w:sz w:val="26"/>
          <w:szCs w:val="26"/>
        </w:rPr>
      </w:pPr>
    </w:p>
    <w:p w:rsidR="00730618" w:rsidRPr="00730618" w:rsidRDefault="00730618" w:rsidP="00730618">
      <w:pPr>
        <w:widowControl w:val="0"/>
        <w:autoSpaceDE w:val="0"/>
        <w:autoSpaceDN w:val="0"/>
        <w:adjustRightInd w:val="0"/>
        <w:spacing w:line="276" w:lineRule="auto"/>
        <w:jc w:val="center"/>
        <w:outlineLvl w:val="2"/>
        <w:rPr>
          <w:color w:val="000000" w:themeColor="text1"/>
          <w:sz w:val="26"/>
          <w:szCs w:val="26"/>
        </w:rPr>
      </w:pPr>
      <w:r w:rsidRPr="00730618">
        <w:rPr>
          <w:b/>
          <w:color w:val="000000" w:themeColor="text1"/>
          <w:sz w:val="26"/>
          <w:szCs w:val="26"/>
        </w:rPr>
        <w:t>Прогноз социально-экономического развития городского округа город Шахунья Нижегородской области на 2020 год и плановый период 2021 и 2022 годов</w:t>
      </w:r>
    </w:p>
    <w:p w:rsidR="00730618" w:rsidRPr="00730618" w:rsidRDefault="00730618" w:rsidP="00730618">
      <w:pPr>
        <w:widowControl w:val="0"/>
        <w:autoSpaceDE w:val="0"/>
        <w:autoSpaceDN w:val="0"/>
        <w:adjustRightInd w:val="0"/>
        <w:spacing w:line="276" w:lineRule="auto"/>
        <w:jc w:val="center"/>
        <w:outlineLvl w:val="2"/>
        <w:rPr>
          <w:color w:val="000000" w:themeColor="text1"/>
          <w:sz w:val="26"/>
          <w:szCs w:val="26"/>
        </w:rPr>
      </w:pPr>
    </w:p>
    <w:p w:rsidR="00730618" w:rsidRPr="00730618" w:rsidRDefault="00730618" w:rsidP="00730618">
      <w:pPr>
        <w:spacing w:line="276" w:lineRule="auto"/>
        <w:ind w:firstLine="709"/>
        <w:jc w:val="both"/>
        <w:rPr>
          <w:color w:val="000000" w:themeColor="text1"/>
          <w:sz w:val="26"/>
          <w:szCs w:val="26"/>
        </w:rPr>
      </w:pPr>
      <w:r w:rsidRPr="00730618">
        <w:rPr>
          <w:color w:val="000000" w:themeColor="text1"/>
          <w:sz w:val="26"/>
          <w:szCs w:val="26"/>
        </w:rPr>
        <w:t xml:space="preserve">Прогноз социально-экономического развития городского округа город Шахунья Нижегородской области на 2020-2022 годы формировался с учетом анализа ситуации до конца 2019 года. </w:t>
      </w:r>
    </w:p>
    <w:p w:rsidR="00730618" w:rsidRPr="00730618" w:rsidRDefault="00730618" w:rsidP="00730618">
      <w:pPr>
        <w:spacing w:line="276" w:lineRule="auto"/>
        <w:ind w:firstLine="709"/>
        <w:jc w:val="both"/>
        <w:rPr>
          <w:b/>
          <w:color w:val="000000" w:themeColor="text1"/>
          <w:sz w:val="26"/>
          <w:szCs w:val="26"/>
        </w:rPr>
      </w:pPr>
      <w:r w:rsidRPr="00730618">
        <w:rPr>
          <w:b/>
          <w:color w:val="000000" w:themeColor="text1"/>
          <w:sz w:val="26"/>
          <w:szCs w:val="26"/>
        </w:rPr>
        <w:t>Основные параметры прогноза социально-экономического развития</w:t>
      </w:r>
    </w:p>
    <w:p w:rsidR="00730618" w:rsidRPr="00730618" w:rsidRDefault="00730618" w:rsidP="00730618">
      <w:pPr>
        <w:widowControl w:val="0"/>
        <w:autoSpaceDE w:val="0"/>
        <w:autoSpaceDN w:val="0"/>
        <w:adjustRightInd w:val="0"/>
        <w:spacing w:line="276" w:lineRule="auto"/>
        <w:ind w:firstLine="709"/>
        <w:jc w:val="both"/>
        <w:rPr>
          <w:color w:val="000000" w:themeColor="text1"/>
          <w:sz w:val="26"/>
          <w:szCs w:val="26"/>
        </w:rPr>
      </w:pPr>
      <w:proofErr w:type="gramStart"/>
      <w:r w:rsidRPr="00730618">
        <w:rPr>
          <w:color w:val="000000" w:themeColor="text1"/>
          <w:sz w:val="26"/>
          <w:szCs w:val="26"/>
        </w:rPr>
        <w:t xml:space="preserve">С учетом темпов роста в 2018 году и за 4 месяца 2019 года, а также прогнозов экономического развития хозяйствующих субъектов городского округа оценка 2019 года по показателю </w:t>
      </w:r>
      <w:r w:rsidRPr="00730618">
        <w:rPr>
          <w:b/>
          <w:color w:val="000000" w:themeColor="text1"/>
          <w:sz w:val="26"/>
          <w:szCs w:val="26"/>
        </w:rPr>
        <w:t>«</w:t>
      </w:r>
      <w:r w:rsidRPr="00730618">
        <w:rPr>
          <w:color w:val="000000" w:themeColor="text1"/>
          <w:sz w:val="26"/>
          <w:szCs w:val="26"/>
        </w:rPr>
        <w:t xml:space="preserve">Отгружено товаров собственного производства, выполнено работ и оказано услуг собственными силами (по полному кругу предприятий)» составляет 5 960,4 </w:t>
      </w:r>
      <w:r w:rsidRPr="00730618">
        <w:rPr>
          <w:color w:val="000000" w:themeColor="text1"/>
          <w:sz w:val="26"/>
          <w:szCs w:val="26"/>
        </w:rPr>
        <w:lastRenderedPageBreak/>
        <w:t>млн. руб. (темп роста – 100,3 % в сопоставимых ценах к уровню 2018 года).</w:t>
      </w:r>
      <w:proofErr w:type="gramEnd"/>
    </w:p>
    <w:p w:rsidR="00730618" w:rsidRPr="00730618" w:rsidRDefault="00730618" w:rsidP="00730618">
      <w:pPr>
        <w:widowControl w:val="0"/>
        <w:autoSpaceDE w:val="0"/>
        <w:autoSpaceDN w:val="0"/>
        <w:adjustRightInd w:val="0"/>
        <w:spacing w:line="276" w:lineRule="auto"/>
        <w:ind w:firstLine="709"/>
        <w:jc w:val="both"/>
        <w:rPr>
          <w:color w:val="000000" w:themeColor="text1"/>
          <w:sz w:val="26"/>
          <w:szCs w:val="26"/>
        </w:rPr>
      </w:pPr>
      <w:proofErr w:type="gramStart"/>
      <w:r w:rsidRPr="00730618">
        <w:rPr>
          <w:color w:val="000000" w:themeColor="text1"/>
          <w:sz w:val="26"/>
          <w:szCs w:val="26"/>
        </w:rPr>
        <w:t>На основании основных параметров прогноза социально – экономического развития Нижегородской области на среднесрочный период, утвержденных приказом Министерства экономического развития и инвестиций Нижегородской области, и данных об экономическом развитии хозяйствующих субъектов объем отгрузки по полному кругу организаций в 2020 году прогнозируется на уровне 6 213,5 млн. руб. (темп роста – 100,2 % в сопоставимых ценах к уровню предыдущего года), в 2021 году – 6 492,8</w:t>
      </w:r>
      <w:proofErr w:type="gramEnd"/>
      <w:r w:rsidRPr="00730618">
        <w:rPr>
          <w:color w:val="000000" w:themeColor="text1"/>
          <w:sz w:val="26"/>
          <w:szCs w:val="26"/>
        </w:rPr>
        <w:t xml:space="preserve"> млн. руб. (темп роста в сопоставимых ценах – 100,5%), в 2022 году – 6 811,8 млн. руб. (темп роста в сопоставимых ценах – 100,9%).</w:t>
      </w:r>
    </w:p>
    <w:p w:rsidR="00730618" w:rsidRPr="00730618" w:rsidRDefault="00730618" w:rsidP="00730618">
      <w:pPr>
        <w:widowControl w:val="0"/>
        <w:autoSpaceDE w:val="0"/>
        <w:autoSpaceDN w:val="0"/>
        <w:adjustRightInd w:val="0"/>
        <w:spacing w:line="276" w:lineRule="auto"/>
        <w:ind w:firstLine="709"/>
        <w:jc w:val="both"/>
        <w:rPr>
          <w:color w:val="000000" w:themeColor="text1"/>
          <w:sz w:val="26"/>
          <w:szCs w:val="26"/>
        </w:rPr>
      </w:pPr>
      <w:proofErr w:type="gramStart"/>
      <w:r w:rsidRPr="00730618">
        <w:rPr>
          <w:color w:val="000000" w:themeColor="text1"/>
          <w:sz w:val="26"/>
          <w:szCs w:val="26"/>
        </w:rPr>
        <w:t>С учетом данных прогноза экономического развития предприятий городского округа в 2020 году объем отгрузки по крупным и средним предприятиям предполагается на уровне 4 765,2 млн. руб. (темп роста – 100,0% в сопоставимых ценах к уровню 2019 года), в 2021 году – 4 972,1 млн. руб. (темп роста в сопоставимых ценах к уровню предыдущего года – 100,3 %), в 2022 году – 5 196,5 млн. руб</w:t>
      </w:r>
      <w:proofErr w:type="gramEnd"/>
      <w:r w:rsidRPr="00730618">
        <w:rPr>
          <w:color w:val="000000" w:themeColor="text1"/>
          <w:sz w:val="26"/>
          <w:szCs w:val="26"/>
        </w:rPr>
        <w:t>. (темп роста в сопоставимых ценах – 100,5%).</w:t>
      </w:r>
    </w:p>
    <w:p w:rsidR="00730618" w:rsidRPr="00730618" w:rsidRDefault="00730618" w:rsidP="00730618">
      <w:pPr>
        <w:widowControl w:val="0"/>
        <w:autoSpaceDE w:val="0"/>
        <w:autoSpaceDN w:val="0"/>
        <w:adjustRightInd w:val="0"/>
        <w:spacing w:line="276" w:lineRule="auto"/>
        <w:ind w:firstLine="709"/>
        <w:jc w:val="both"/>
        <w:rPr>
          <w:color w:val="000000" w:themeColor="text1"/>
          <w:sz w:val="26"/>
          <w:szCs w:val="26"/>
        </w:rPr>
      </w:pPr>
      <w:r w:rsidRPr="00730618">
        <w:rPr>
          <w:color w:val="000000" w:themeColor="text1"/>
          <w:sz w:val="26"/>
          <w:szCs w:val="26"/>
        </w:rPr>
        <w:t xml:space="preserve">Основная доля общего объема отгрузки (по крупным и средним предприятиям) сохранится за предприятиями обрабатывающих производств. </w:t>
      </w:r>
      <w:proofErr w:type="gramStart"/>
      <w:r w:rsidRPr="00730618">
        <w:rPr>
          <w:color w:val="000000" w:themeColor="text1"/>
          <w:sz w:val="26"/>
          <w:szCs w:val="26"/>
        </w:rPr>
        <w:t>В 2020 году объем отгрузки по обрабатывающим производствам планируется на уровне 3 413,1 млн. руб. (темп роста – 100,0% в сопоставимых ценах к уровню 2019 года), в 2021 году – 3 542,8 млн. руб. (темп роста в сопоставимых ценах – 100,0%), в 2022 году – 3 684,5 млн. руб. (темп роста в сопоставимых ценах – 100,0%).</w:t>
      </w:r>
      <w:proofErr w:type="gramEnd"/>
    </w:p>
    <w:p w:rsidR="00730618" w:rsidRPr="00730618" w:rsidRDefault="00730618" w:rsidP="00730618">
      <w:pPr>
        <w:widowControl w:val="0"/>
        <w:autoSpaceDE w:val="0"/>
        <w:autoSpaceDN w:val="0"/>
        <w:adjustRightInd w:val="0"/>
        <w:spacing w:line="276" w:lineRule="auto"/>
        <w:ind w:firstLine="709"/>
        <w:jc w:val="both"/>
        <w:rPr>
          <w:color w:val="000000" w:themeColor="text1"/>
          <w:sz w:val="26"/>
          <w:szCs w:val="26"/>
        </w:rPr>
      </w:pPr>
      <w:r w:rsidRPr="00730618">
        <w:rPr>
          <w:color w:val="000000" w:themeColor="text1"/>
          <w:sz w:val="26"/>
          <w:szCs w:val="26"/>
        </w:rPr>
        <w:t xml:space="preserve">Оценка 2019 года по показателю </w:t>
      </w:r>
      <w:r w:rsidRPr="00730618">
        <w:rPr>
          <w:b/>
          <w:color w:val="000000" w:themeColor="text1"/>
          <w:sz w:val="26"/>
          <w:szCs w:val="26"/>
        </w:rPr>
        <w:t>«</w:t>
      </w:r>
      <w:r w:rsidRPr="00730618">
        <w:rPr>
          <w:color w:val="000000" w:themeColor="text1"/>
          <w:sz w:val="26"/>
          <w:szCs w:val="26"/>
        </w:rPr>
        <w:t>Валовая продукция сельского хозяйства (во всех категориях хозяйств)</w:t>
      </w:r>
      <w:r w:rsidRPr="00730618">
        <w:rPr>
          <w:b/>
          <w:color w:val="000000" w:themeColor="text1"/>
          <w:sz w:val="26"/>
          <w:szCs w:val="26"/>
        </w:rPr>
        <w:t>»</w:t>
      </w:r>
      <w:r w:rsidRPr="00730618">
        <w:rPr>
          <w:color w:val="000000" w:themeColor="text1"/>
          <w:sz w:val="26"/>
          <w:szCs w:val="26"/>
        </w:rPr>
        <w:t xml:space="preserve"> составляет 598,0 млн. руб. Темп роста валовой продукции сельского хозяйства в сопоставимых ценах в 2020 - 2022 годах составит 101,4% к уровню 2019 года,  101,0% к уровню 2020 года, 101,0% в 2021 и 2022 годах.</w:t>
      </w:r>
    </w:p>
    <w:p w:rsidR="00730618" w:rsidRPr="00730618" w:rsidRDefault="00730618" w:rsidP="00730618">
      <w:pPr>
        <w:widowControl w:val="0"/>
        <w:autoSpaceDE w:val="0"/>
        <w:autoSpaceDN w:val="0"/>
        <w:adjustRightInd w:val="0"/>
        <w:spacing w:line="276" w:lineRule="auto"/>
        <w:ind w:firstLine="709"/>
        <w:jc w:val="both"/>
        <w:rPr>
          <w:color w:val="000000" w:themeColor="text1"/>
          <w:sz w:val="26"/>
          <w:szCs w:val="26"/>
        </w:rPr>
      </w:pPr>
      <w:r w:rsidRPr="00730618">
        <w:rPr>
          <w:color w:val="000000" w:themeColor="text1"/>
          <w:sz w:val="26"/>
          <w:szCs w:val="26"/>
        </w:rPr>
        <w:t xml:space="preserve">Согласно анализу фактических данных последних лет и 1 квартала 2019 года, а также с учетом складывающейся ситуации на рынке труда, оценка 2019 года по показателю </w:t>
      </w:r>
      <w:r w:rsidRPr="00730618">
        <w:rPr>
          <w:b/>
          <w:color w:val="000000" w:themeColor="text1"/>
          <w:sz w:val="26"/>
          <w:szCs w:val="26"/>
        </w:rPr>
        <w:t>«</w:t>
      </w:r>
      <w:r w:rsidRPr="00730618">
        <w:rPr>
          <w:color w:val="000000" w:themeColor="text1"/>
          <w:sz w:val="26"/>
          <w:szCs w:val="26"/>
        </w:rPr>
        <w:t>Фонд заработной платы</w:t>
      </w:r>
      <w:r w:rsidRPr="00730618">
        <w:rPr>
          <w:b/>
          <w:color w:val="000000" w:themeColor="text1"/>
          <w:sz w:val="26"/>
          <w:szCs w:val="26"/>
        </w:rPr>
        <w:t>»</w:t>
      </w:r>
      <w:r w:rsidRPr="00730618">
        <w:rPr>
          <w:color w:val="000000" w:themeColor="text1"/>
          <w:sz w:val="26"/>
          <w:szCs w:val="26"/>
        </w:rPr>
        <w:t xml:space="preserve"> составляет 2 759,9 млн. руб.</w:t>
      </w:r>
    </w:p>
    <w:p w:rsidR="00730618" w:rsidRPr="00730618" w:rsidRDefault="00730618" w:rsidP="00730618">
      <w:pPr>
        <w:widowControl w:val="0"/>
        <w:autoSpaceDE w:val="0"/>
        <w:autoSpaceDN w:val="0"/>
        <w:adjustRightInd w:val="0"/>
        <w:spacing w:line="276" w:lineRule="auto"/>
        <w:ind w:firstLine="709"/>
        <w:jc w:val="both"/>
        <w:rPr>
          <w:color w:val="000000" w:themeColor="text1"/>
          <w:sz w:val="26"/>
          <w:szCs w:val="26"/>
        </w:rPr>
      </w:pPr>
      <w:r w:rsidRPr="00730618">
        <w:rPr>
          <w:color w:val="000000" w:themeColor="text1"/>
          <w:sz w:val="26"/>
          <w:szCs w:val="26"/>
        </w:rPr>
        <w:t xml:space="preserve"> В 2020 году ФОТ прогнозируется на уровне 2 925,9 млн. руб., в 2021 году –3 139,5 млн. руб., 2022 году – 3 368,6 млн. руб.</w:t>
      </w:r>
    </w:p>
    <w:p w:rsidR="00730618" w:rsidRPr="00730618" w:rsidRDefault="00730618" w:rsidP="00730618">
      <w:pPr>
        <w:widowControl w:val="0"/>
        <w:autoSpaceDE w:val="0"/>
        <w:autoSpaceDN w:val="0"/>
        <w:adjustRightInd w:val="0"/>
        <w:spacing w:line="276" w:lineRule="auto"/>
        <w:ind w:firstLine="709"/>
        <w:jc w:val="both"/>
        <w:rPr>
          <w:color w:val="000000" w:themeColor="text1"/>
          <w:sz w:val="26"/>
          <w:szCs w:val="26"/>
        </w:rPr>
      </w:pPr>
      <w:r w:rsidRPr="00730618">
        <w:rPr>
          <w:color w:val="000000" w:themeColor="text1"/>
          <w:sz w:val="26"/>
          <w:szCs w:val="26"/>
        </w:rPr>
        <w:t>Согласно оценке 2019 года численность работников, формирующих фонд оплаты труда, составит 11,251 тысяч человек. В 2020-2022 годах численность работников прогнозируется на уровне 10,977 тысяч человек.</w:t>
      </w:r>
    </w:p>
    <w:p w:rsidR="00730618" w:rsidRPr="00730618" w:rsidRDefault="00730618" w:rsidP="00730618">
      <w:pPr>
        <w:autoSpaceDE w:val="0"/>
        <w:autoSpaceDN w:val="0"/>
        <w:spacing w:line="276" w:lineRule="auto"/>
        <w:ind w:firstLine="540"/>
        <w:jc w:val="both"/>
        <w:rPr>
          <w:color w:val="000000" w:themeColor="text1"/>
          <w:sz w:val="26"/>
          <w:szCs w:val="26"/>
        </w:rPr>
      </w:pPr>
      <w:r w:rsidRPr="00730618">
        <w:rPr>
          <w:color w:val="000000" w:themeColor="text1"/>
          <w:sz w:val="26"/>
          <w:szCs w:val="26"/>
        </w:rPr>
        <w:t>По оценке 2019 года такой показатель, как реальная заработная плата по сравнению с уровнем 2018 года составит 103,1%, прогноз на 2020 год – 101,9%, на 2021 и 2022 годы – 103,2%.</w:t>
      </w:r>
    </w:p>
    <w:p w:rsidR="00730618" w:rsidRPr="00730618" w:rsidRDefault="00730618" w:rsidP="00730618">
      <w:pPr>
        <w:widowControl w:val="0"/>
        <w:autoSpaceDE w:val="0"/>
        <w:autoSpaceDN w:val="0"/>
        <w:adjustRightInd w:val="0"/>
        <w:spacing w:line="276" w:lineRule="auto"/>
        <w:ind w:firstLine="540"/>
        <w:jc w:val="both"/>
        <w:rPr>
          <w:color w:val="000000" w:themeColor="text1"/>
          <w:sz w:val="26"/>
          <w:szCs w:val="26"/>
        </w:rPr>
      </w:pPr>
      <w:r w:rsidRPr="00730618">
        <w:rPr>
          <w:color w:val="000000" w:themeColor="text1"/>
          <w:sz w:val="26"/>
          <w:szCs w:val="26"/>
        </w:rPr>
        <w:t>Оценка 2018 года по показателю «Прибыль прибыльных предприятий</w:t>
      </w:r>
      <w:r w:rsidRPr="00730618">
        <w:rPr>
          <w:b/>
          <w:color w:val="000000" w:themeColor="text1"/>
          <w:sz w:val="26"/>
          <w:szCs w:val="26"/>
        </w:rPr>
        <w:t>»</w:t>
      </w:r>
      <w:r w:rsidRPr="00730618">
        <w:rPr>
          <w:color w:val="000000" w:themeColor="text1"/>
          <w:sz w:val="26"/>
          <w:szCs w:val="26"/>
        </w:rPr>
        <w:t xml:space="preserve"> (по крупным и средним предприятиям) составляет 100,0 млн. руб. </w:t>
      </w:r>
    </w:p>
    <w:p w:rsidR="00730618" w:rsidRPr="00730618" w:rsidRDefault="00730618" w:rsidP="00730618">
      <w:pPr>
        <w:widowControl w:val="0"/>
        <w:autoSpaceDE w:val="0"/>
        <w:autoSpaceDN w:val="0"/>
        <w:adjustRightInd w:val="0"/>
        <w:spacing w:line="276" w:lineRule="auto"/>
        <w:ind w:firstLine="540"/>
        <w:jc w:val="both"/>
        <w:rPr>
          <w:color w:val="000000" w:themeColor="text1"/>
          <w:sz w:val="26"/>
          <w:szCs w:val="26"/>
        </w:rPr>
      </w:pPr>
      <w:r w:rsidRPr="00730618">
        <w:rPr>
          <w:color w:val="000000" w:themeColor="text1"/>
          <w:sz w:val="26"/>
          <w:szCs w:val="26"/>
        </w:rPr>
        <w:t>В прогнозируемом периоде прибыль прибыльных организаций (по кругу крупных и средних организаций) составит:</w:t>
      </w:r>
    </w:p>
    <w:p w:rsidR="00730618" w:rsidRPr="00730618" w:rsidRDefault="00730618" w:rsidP="00730618">
      <w:pPr>
        <w:widowControl w:val="0"/>
        <w:autoSpaceDE w:val="0"/>
        <w:autoSpaceDN w:val="0"/>
        <w:adjustRightInd w:val="0"/>
        <w:spacing w:line="276" w:lineRule="auto"/>
        <w:ind w:firstLine="540"/>
        <w:jc w:val="both"/>
        <w:rPr>
          <w:color w:val="000000" w:themeColor="text1"/>
          <w:sz w:val="26"/>
          <w:szCs w:val="26"/>
        </w:rPr>
      </w:pPr>
      <w:r w:rsidRPr="00730618">
        <w:rPr>
          <w:color w:val="000000" w:themeColor="text1"/>
          <w:sz w:val="26"/>
          <w:szCs w:val="26"/>
        </w:rPr>
        <w:t>- 2020 год – 102,1 млн. руб.;</w:t>
      </w:r>
    </w:p>
    <w:p w:rsidR="00730618" w:rsidRPr="00730618" w:rsidRDefault="00730618" w:rsidP="00730618">
      <w:pPr>
        <w:widowControl w:val="0"/>
        <w:autoSpaceDE w:val="0"/>
        <w:autoSpaceDN w:val="0"/>
        <w:adjustRightInd w:val="0"/>
        <w:spacing w:line="276" w:lineRule="auto"/>
        <w:ind w:firstLine="540"/>
        <w:jc w:val="both"/>
        <w:rPr>
          <w:color w:val="000000" w:themeColor="text1"/>
          <w:sz w:val="26"/>
          <w:szCs w:val="26"/>
        </w:rPr>
      </w:pPr>
      <w:r w:rsidRPr="00730618">
        <w:rPr>
          <w:color w:val="000000" w:themeColor="text1"/>
          <w:sz w:val="26"/>
          <w:szCs w:val="26"/>
        </w:rPr>
        <w:t>- 2021 год – 104,7 млн. руб.;</w:t>
      </w:r>
    </w:p>
    <w:p w:rsidR="00730618" w:rsidRPr="00730618" w:rsidRDefault="00730618" w:rsidP="00730618">
      <w:pPr>
        <w:widowControl w:val="0"/>
        <w:autoSpaceDE w:val="0"/>
        <w:autoSpaceDN w:val="0"/>
        <w:adjustRightInd w:val="0"/>
        <w:spacing w:line="276" w:lineRule="auto"/>
        <w:ind w:firstLine="540"/>
        <w:jc w:val="both"/>
        <w:rPr>
          <w:color w:val="000000" w:themeColor="text1"/>
          <w:sz w:val="26"/>
          <w:szCs w:val="26"/>
        </w:rPr>
      </w:pPr>
      <w:r w:rsidRPr="00730618">
        <w:rPr>
          <w:color w:val="000000" w:themeColor="text1"/>
          <w:sz w:val="26"/>
          <w:szCs w:val="26"/>
        </w:rPr>
        <w:t>- 2022 год – 107,4 млн. руб.</w:t>
      </w:r>
    </w:p>
    <w:p w:rsidR="00730618" w:rsidRPr="00730618" w:rsidRDefault="00730618" w:rsidP="00730618">
      <w:pPr>
        <w:widowControl w:val="0"/>
        <w:autoSpaceDE w:val="0"/>
        <w:autoSpaceDN w:val="0"/>
        <w:adjustRightInd w:val="0"/>
        <w:spacing w:line="276" w:lineRule="auto"/>
        <w:ind w:firstLine="540"/>
        <w:jc w:val="both"/>
        <w:rPr>
          <w:color w:val="000000" w:themeColor="text1"/>
          <w:sz w:val="26"/>
          <w:szCs w:val="26"/>
        </w:rPr>
      </w:pPr>
    </w:p>
    <w:p w:rsidR="00730618" w:rsidRPr="00730618" w:rsidRDefault="00730618" w:rsidP="00730618">
      <w:pPr>
        <w:widowControl w:val="0"/>
        <w:autoSpaceDE w:val="0"/>
        <w:autoSpaceDN w:val="0"/>
        <w:adjustRightInd w:val="0"/>
        <w:spacing w:line="276" w:lineRule="auto"/>
        <w:ind w:firstLine="540"/>
        <w:jc w:val="both"/>
        <w:rPr>
          <w:b/>
          <w:color w:val="000000" w:themeColor="text1"/>
          <w:sz w:val="26"/>
          <w:szCs w:val="26"/>
        </w:rPr>
      </w:pPr>
      <w:r w:rsidRPr="00730618">
        <w:rPr>
          <w:b/>
          <w:color w:val="000000" w:themeColor="text1"/>
          <w:sz w:val="26"/>
          <w:szCs w:val="26"/>
        </w:rPr>
        <w:lastRenderedPageBreak/>
        <w:t xml:space="preserve">Обоснование </w:t>
      </w:r>
      <w:proofErr w:type="gramStart"/>
      <w:r w:rsidRPr="00730618">
        <w:rPr>
          <w:b/>
          <w:color w:val="000000" w:themeColor="text1"/>
          <w:sz w:val="26"/>
          <w:szCs w:val="26"/>
        </w:rPr>
        <w:t>изменения основных показателей прогноза социально-экономического развития  городского округа</w:t>
      </w:r>
      <w:proofErr w:type="gramEnd"/>
      <w:r w:rsidRPr="00730618">
        <w:rPr>
          <w:b/>
          <w:color w:val="000000" w:themeColor="text1"/>
          <w:sz w:val="26"/>
          <w:szCs w:val="26"/>
        </w:rPr>
        <w:t xml:space="preserve"> город Шахунья (сравнение данных на 2019 год по прогнозу на 2019-2021 годы с данными  на 2019 год по прогнозу на 2018-2020 годы)</w:t>
      </w:r>
    </w:p>
    <w:p w:rsidR="00730618" w:rsidRPr="00730618" w:rsidRDefault="00730618" w:rsidP="00730618">
      <w:pPr>
        <w:widowControl w:val="0"/>
        <w:autoSpaceDE w:val="0"/>
        <w:autoSpaceDN w:val="0"/>
        <w:adjustRightInd w:val="0"/>
        <w:spacing w:line="276" w:lineRule="auto"/>
        <w:ind w:firstLine="540"/>
        <w:jc w:val="both"/>
        <w:rPr>
          <w:color w:val="000000" w:themeColor="text1"/>
          <w:sz w:val="27"/>
          <w:szCs w:val="27"/>
        </w:rPr>
      </w:pPr>
      <w:r w:rsidRPr="00730618">
        <w:rPr>
          <w:color w:val="000000" w:themeColor="text1"/>
          <w:sz w:val="26"/>
          <w:szCs w:val="26"/>
        </w:rPr>
        <w:t>Изменение основных показателей прогноза социально-экономического развития городского округа город Шахунья на 2019 год (сравнение данных на 2019 год по прогнозу на 2018-2020 годы с данными  на 2019 год по прогнозу на 2019-2021 годы) приведены в таблице.</w:t>
      </w:r>
    </w:p>
    <w:tbl>
      <w:tblPr>
        <w:tblW w:w="10155" w:type="dxa"/>
        <w:tblInd w:w="93" w:type="dxa"/>
        <w:tblLayout w:type="fixed"/>
        <w:tblLook w:val="04A0" w:firstRow="1" w:lastRow="0" w:firstColumn="1" w:lastColumn="0" w:noHBand="0" w:noVBand="1"/>
      </w:tblPr>
      <w:tblGrid>
        <w:gridCol w:w="3557"/>
        <w:gridCol w:w="1134"/>
        <w:gridCol w:w="1417"/>
        <w:gridCol w:w="1559"/>
        <w:gridCol w:w="1418"/>
        <w:gridCol w:w="1070"/>
      </w:tblGrid>
      <w:tr w:rsidR="00730618" w:rsidRPr="00730618" w:rsidTr="00730618">
        <w:trPr>
          <w:trHeight w:val="390"/>
        </w:trPr>
        <w:tc>
          <w:tcPr>
            <w:tcW w:w="3559" w:type="dxa"/>
            <w:vMerge w:val="restart"/>
            <w:tcBorders>
              <w:top w:val="single" w:sz="4" w:space="0" w:color="auto"/>
              <w:left w:val="single" w:sz="4" w:space="0" w:color="auto"/>
              <w:bottom w:val="single" w:sz="4" w:space="0" w:color="auto"/>
              <w:right w:val="single" w:sz="4" w:space="0" w:color="auto"/>
            </w:tcBorders>
            <w:noWrap/>
            <w:vAlign w:val="center"/>
            <w:hideMark/>
          </w:tcPr>
          <w:p w:rsidR="00730618" w:rsidRPr="00730618" w:rsidRDefault="00730618" w:rsidP="00730618">
            <w:pPr>
              <w:jc w:val="center"/>
              <w:rPr>
                <w:b/>
                <w:bCs/>
                <w:color w:val="000000" w:themeColor="text1"/>
                <w:sz w:val="20"/>
                <w:szCs w:val="20"/>
              </w:rPr>
            </w:pPr>
            <w:r w:rsidRPr="00730618">
              <w:rPr>
                <w:b/>
                <w:bCs/>
                <w:color w:val="000000" w:themeColor="text1"/>
                <w:sz w:val="20"/>
                <w:szCs w:val="20"/>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30618" w:rsidRPr="00730618" w:rsidRDefault="00730618" w:rsidP="00730618">
            <w:pPr>
              <w:jc w:val="center"/>
              <w:rPr>
                <w:b/>
                <w:bCs/>
                <w:color w:val="000000" w:themeColor="text1"/>
                <w:sz w:val="20"/>
                <w:szCs w:val="20"/>
              </w:rPr>
            </w:pPr>
            <w:r w:rsidRPr="00730618">
              <w:rPr>
                <w:b/>
                <w:bCs/>
                <w:color w:val="000000" w:themeColor="text1"/>
                <w:sz w:val="20"/>
                <w:szCs w:val="20"/>
              </w:rPr>
              <w:t>Единица измерения</w:t>
            </w:r>
          </w:p>
        </w:tc>
        <w:tc>
          <w:tcPr>
            <w:tcW w:w="2976" w:type="dxa"/>
            <w:gridSpan w:val="2"/>
            <w:tcBorders>
              <w:top w:val="single" w:sz="4" w:space="0" w:color="auto"/>
              <w:left w:val="nil"/>
              <w:bottom w:val="single" w:sz="4" w:space="0" w:color="auto"/>
              <w:right w:val="single" w:sz="4" w:space="0" w:color="000000"/>
            </w:tcBorders>
            <w:vAlign w:val="center"/>
            <w:hideMark/>
          </w:tcPr>
          <w:p w:rsidR="00730618" w:rsidRPr="00730618" w:rsidRDefault="00730618" w:rsidP="00730618">
            <w:pPr>
              <w:jc w:val="center"/>
              <w:rPr>
                <w:b/>
                <w:bCs/>
                <w:color w:val="000000" w:themeColor="text1"/>
                <w:sz w:val="20"/>
                <w:szCs w:val="20"/>
              </w:rPr>
            </w:pPr>
            <w:r w:rsidRPr="00730618">
              <w:rPr>
                <w:b/>
                <w:bCs/>
                <w:color w:val="000000" w:themeColor="text1"/>
                <w:sz w:val="20"/>
                <w:szCs w:val="20"/>
              </w:rPr>
              <w:t>Данные на 2019 год</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30618" w:rsidRPr="00730618" w:rsidRDefault="00730618" w:rsidP="00730618">
            <w:pPr>
              <w:jc w:val="center"/>
              <w:rPr>
                <w:b/>
                <w:bCs/>
                <w:color w:val="000000" w:themeColor="text1"/>
                <w:sz w:val="20"/>
                <w:szCs w:val="20"/>
              </w:rPr>
            </w:pPr>
            <w:r w:rsidRPr="00730618">
              <w:rPr>
                <w:b/>
                <w:bCs/>
                <w:color w:val="000000" w:themeColor="text1"/>
                <w:sz w:val="20"/>
                <w:szCs w:val="20"/>
              </w:rPr>
              <w:t>Отклонения</w:t>
            </w:r>
          </w:p>
        </w:tc>
        <w:tc>
          <w:tcPr>
            <w:tcW w:w="1070" w:type="dxa"/>
            <w:vMerge w:val="restart"/>
            <w:tcBorders>
              <w:top w:val="single" w:sz="4" w:space="0" w:color="auto"/>
              <w:left w:val="single" w:sz="4" w:space="0" w:color="auto"/>
              <w:bottom w:val="single" w:sz="4" w:space="0" w:color="auto"/>
              <w:right w:val="single" w:sz="4" w:space="0" w:color="auto"/>
            </w:tcBorders>
            <w:vAlign w:val="center"/>
            <w:hideMark/>
          </w:tcPr>
          <w:p w:rsidR="00730618" w:rsidRPr="00730618" w:rsidRDefault="00730618" w:rsidP="00730618">
            <w:pPr>
              <w:jc w:val="center"/>
              <w:rPr>
                <w:b/>
                <w:bCs/>
                <w:color w:val="000000" w:themeColor="text1"/>
                <w:sz w:val="20"/>
                <w:szCs w:val="20"/>
              </w:rPr>
            </w:pPr>
            <w:r w:rsidRPr="00730618">
              <w:rPr>
                <w:b/>
                <w:bCs/>
                <w:color w:val="000000" w:themeColor="text1"/>
                <w:sz w:val="20"/>
                <w:szCs w:val="20"/>
              </w:rPr>
              <w:t>в %</w:t>
            </w:r>
          </w:p>
        </w:tc>
      </w:tr>
      <w:tr w:rsidR="00730618" w:rsidRPr="00730618" w:rsidTr="00730618">
        <w:trPr>
          <w:trHeight w:val="255"/>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730618" w:rsidRPr="00730618" w:rsidRDefault="00730618" w:rsidP="00730618">
            <w:pPr>
              <w:rPr>
                <w:b/>
                <w:bCs/>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0618" w:rsidRPr="00730618" w:rsidRDefault="00730618" w:rsidP="00730618">
            <w:pPr>
              <w:rPr>
                <w:b/>
                <w:bCs/>
                <w:color w:val="000000" w:themeColor="text1"/>
                <w:sz w:val="20"/>
                <w:szCs w:val="20"/>
              </w:rPr>
            </w:pPr>
          </w:p>
        </w:tc>
        <w:tc>
          <w:tcPr>
            <w:tcW w:w="1417" w:type="dxa"/>
            <w:vMerge w:val="restart"/>
            <w:tcBorders>
              <w:top w:val="nil"/>
              <w:left w:val="single" w:sz="4" w:space="0" w:color="auto"/>
              <w:bottom w:val="single" w:sz="4" w:space="0" w:color="auto"/>
              <w:right w:val="single" w:sz="4" w:space="0" w:color="auto"/>
            </w:tcBorders>
            <w:vAlign w:val="center"/>
            <w:hideMark/>
          </w:tcPr>
          <w:p w:rsidR="00730618" w:rsidRPr="00730618" w:rsidRDefault="00730618" w:rsidP="00730618">
            <w:pPr>
              <w:jc w:val="center"/>
              <w:rPr>
                <w:b/>
                <w:bCs/>
                <w:color w:val="000000" w:themeColor="text1"/>
                <w:sz w:val="20"/>
                <w:szCs w:val="20"/>
              </w:rPr>
            </w:pPr>
            <w:r w:rsidRPr="00730618">
              <w:rPr>
                <w:b/>
                <w:bCs/>
                <w:color w:val="000000" w:themeColor="text1"/>
                <w:sz w:val="20"/>
                <w:szCs w:val="20"/>
              </w:rPr>
              <w:t>По прогнозу на 2018-2020 годы</w:t>
            </w:r>
          </w:p>
        </w:tc>
        <w:tc>
          <w:tcPr>
            <w:tcW w:w="1559" w:type="dxa"/>
            <w:vMerge w:val="restart"/>
            <w:tcBorders>
              <w:top w:val="nil"/>
              <w:left w:val="single" w:sz="4" w:space="0" w:color="auto"/>
              <w:bottom w:val="single" w:sz="4" w:space="0" w:color="auto"/>
              <w:right w:val="single" w:sz="4" w:space="0" w:color="auto"/>
            </w:tcBorders>
            <w:vAlign w:val="center"/>
            <w:hideMark/>
          </w:tcPr>
          <w:p w:rsidR="00730618" w:rsidRPr="00730618" w:rsidRDefault="00730618" w:rsidP="00730618">
            <w:pPr>
              <w:jc w:val="center"/>
              <w:rPr>
                <w:b/>
                <w:bCs/>
                <w:color w:val="000000" w:themeColor="text1"/>
                <w:sz w:val="20"/>
                <w:szCs w:val="20"/>
              </w:rPr>
            </w:pPr>
            <w:r w:rsidRPr="00730618">
              <w:rPr>
                <w:b/>
                <w:bCs/>
                <w:color w:val="000000" w:themeColor="text1"/>
                <w:sz w:val="20"/>
                <w:szCs w:val="20"/>
              </w:rPr>
              <w:t>По прогнозу на 2019-2021 годы</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30618" w:rsidRPr="00730618" w:rsidRDefault="00730618" w:rsidP="00730618">
            <w:pPr>
              <w:rPr>
                <w:b/>
                <w:bCs/>
                <w:color w:val="000000" w:themeColor="text1"/>
                <w:sz w:val="20"/>
                <w:szCs w:val="20"/>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730618" w:rsidRPr="00730618" w:rsidRDefault="00730618" w:rsidP="00730618">
            <w:pPr>
              <w:rPr>
                <w:b/>
                <w:bCs/>
                <w:color w:val="000000" w:themeColor="text1"/>
                <w:sz w:val="20"/>
                <w:szCs w:val="20"/>
              </w:rPr>
            </w:pPr>
          </w:p>
        </w:tc>
      </w:tr>
      <w:tr w:rsidR="00730618" w:rsidRPr="00730618" w:rsidTr="00730618">
        <w:trPr>
          <w:trHeight w:val="230"/>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730618" w:rsidRPr="00730618" w:rsidRDefault="00730618" w:rsidP="00730618">
            <w:pPr>
              <w:rPr>
                <w:b/>
                <w:bCs/>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0618" w:rsidRPr="00730618" w:rsidRDefault="00730618" w:rsidP="00730618">
            <w:pPr>
              <w:rPr>
                <w:b/>
                <w:bCs/>
                <w:color w:val="000000" w:themeColor="text1"/>
                <w:sz w:val="20"/>
                <w:szCs w:val="20"/>
              </w:rPr>
            </w:pPr>
          </w:p>
        </w:tc>
        <w:tc>
          <w:tcPr>
            <w:tcW w:w="2976" w:type="dxa"/>
            <w:vMerge/>
            <w:tcBorders>
              <w:top w:val="nil"/>
              <w:left w:val="single" w:sz="4" w:space="0" w:color="auto"/>
              <w:bottom w:val="single" w:sz="4" w:space="0" w:color="auto"/>
              <w:right w:val="single" w:sz="4" w:space="0" w:color="auto"/>
            </w:tcBorders>
            <w:vAlign w:val="center"/>
            <w:hideMark/>
          </w:tcPr>
          <w:p w:rsidR="00730618" w:rsidRPr="00730618" w:rsidRDefault="00730618" w:rsidP="00730618">
            <w:pPr>
              <w:rPr>
                <w:b/>
                <w:bCs/>
                <w:color w:val="000000" w:themeColor="text1"/>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30618" w:rsidRPr="00730618" w:rsidRDefault="00730618" w:rsidP="00730618">
            <w:pPr>
              <w:rPr>
                <w:b/>
                <w:bCs/>
                <w:color w:val="000000" w:themeColor="text1"/>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30618" w:rsidRPr="00730618" w:rsidRDefault="00730618" w:rsidP="00730618">
            <w:pPr>
              <w:rPr>
                <w:b/>
                <w:bCs/>
                <w:color w:val="000000" w:themeColor="text1"/>
                <w:sz w:val="20"/>
                <w:szCs w:val="20"/>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730618" w:rsidRPr="00730618" w:rsidRDefault="00730618" w:rsidP="00730618">
            <w:pPr>
              <w:rPr>
                <w:b/>
                <w:bCs/>
                <w:color w:val="000000" w:themeColor="text1"/>
                <w:sz w:val="20"/>
                <w:szCs w:val="20"/>
              </w:rPr>
            </w:pPr>
          </w:p>
        </w:tc>
      </w:tr>
      <w:tr w:rsidR="00730618" w:rsidRPr="00730618" w:rsidTr="00730618">
        <w:trPr>
          <w:trHeight w:val="240"/>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730618" w:rsidRPr="00730618" w:rsidRDefault="00730618" w:rsidP="00730618">
            <w:pPr>
              <w:rPr>
                <w:b/>
                <w:bCs/>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0618" w:rsidRPr="00730618" w:rsidRDefault="00730618" w:rsidP="00730618">
            <w:pPr>
              <w:rPr>
                <w:b/>
                <w:bCs/>
                <w:color w:val="000000" w:themeColor="text1"/>
                <w:sz w:val="20"/>
                <w:szCs w:val="20"/>
              </w:rPr>
            </w:pPr>
          </w:p>
        </w:tc>
        <w:tc>
          <w:tcPr>
            <w:tcW w:w="2976" w:type="dxa"/>
            <w:vMerge/>
            <w:tcBorders>
              <w:top w:val="nil"/>
              <w:left w:val="single" w:sz="4" w:space="0" w:color="auto"/>
              <w:bottom w:val="single" w:sz="4" w:space="0" w:color="auto"/>
              <w:right w:val="single" w:sz="4" w:space="0" w:color="auto"/>
            </w:tcBorders>
            <w:vAlign w:val="center"/>
            <w:hideMark/>
          </w:tcPr>
          <w:p w:rsidR="00730618" w:rsidRPr="00730618" w:rsidRDefault="00730618" w:rsidP="00730618">
            <w:pPr>
              <w:rPr>
                <w:b/>
                <w:bCs/>
                <w:color w:val="000000" w:themeColor="text1"/>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30618" w:rsidRPr="00730618" w:rsidRDefault="00730618" w:rsidP="00730618">
            <w:pPr>
              <w:rPr>
                <w:b/>
                <w:bCs/>
                <w:color w:val="000000" w:themeColor="text1"/>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30618" w:rsidRPr="00730618" w:rsidRDefault="00730618" w:rsidP="00730618">
            <w:pPr>
              <w:rPr>
                <w:b/>
                <w:bCs/>
                <w:color w:val="000000" w:themeColor="text1"/>
                <w:sz w:val="20"/>
                <w:szCs w:val="20"/>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730618" w:rsidRPr="00730618" w:rsidRDefault="00730618" w:rsidP="00730618">
            <w:pPr>
              <w:rPr>
                <w:b/>
                <w:bCs/>
                <w:color w:val="000000" w:themeColor="text1"/>
                <w:sz w:val="20"/>
                <w:szCs w:val="20"/>
              </w:rPr>
            </w:pPr>
          </w:p>
        </w:tc>
      </w:tr>
      <w:tr w:rsidR="00730618" w:rsidRPr="00730618" w:rsidTr="00730618">
        <w:trPr>
          <w:trHeight w:val="230"/>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730618" w:rsidRPr="00730618" w:rsidRDefault="00730618" w:rsidP="00730618">
            <w:pPr>
              <w:rPr>
                <w:b/>
                <w:bCs/>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0618" w:rsidRPr="00730618" w:rsidRDefault="00730618" w:rsidP="00730618">
            <w:pPr>
              <w:rPr>
                <w:b/>
                <w:bCs/>
                <w:color w:val="000000" w:themeColor="text1"/>
                <w:sz w:val="20"/>
                <w:szCs w:val="20"/>
              </w:rPr>
            </w:pPr>
          </w:p>
        </w:tc>
        <w:tc>
          <w:tcPr>
            <w:tcW w:w="2976" w:type="dxa"/>
            <w:vMerge/>
            <w:tcBorders>
              <w:top w:val="nil"/>
              <w:left w:val="single" w:sz="4" w:space="0" w:color="auto"/>
              <w:bottom w:val="single" w:sz="4" w:space="0" w:color="auto"/>
              <w:right w:val="single" w:sz="4" w:space="0" w:color="auto"/>
            </w:tcBorders>
            <w:vAlign w:val="center"/>
            <w:hideMark/>
          </w:tcPr>
          <w:p w:rsidR="00730618" w:rsidRPr="00730618" w:rsidRDefault="00730618" w:rsidP="00730618">
            <w:pPr>
              <w:rPr>
                <w:b/>
                <w:bCs/>
                <w:color w:val="000000" w:themeColor="text1"/>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730618" w:rsidRPr="00730618" w:rsidRDefault="00730618" w:rsidP="00730618">
            <w:pPr>
              <w:rPr>
                <w:b/>
                <w:bCs/>
                <w:color w:val="000000" w:themeColor="text1"/>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30618" w:rsidRPr="00730618" w:rsidRDefault="00730618" w:rsidP="00730618">
            <w:pPr>
              <w:rPr>
                <w:b/>
                <w:bCs/>
                <w:color w:val="000000" w:themeColor="text1"/>
                <w:sz w:val="20"/>
                <w:szCs w:val="20"/>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730618" w:rsidRPr="00730618" w:rsidRDefault="00730618" w:rsidP="00730618">
            <w:pPr>
              <w:rPr>
                <w:b/>
                <w:bCs/>
                <w:color w:val="000000" w:themeColor="text1"/>
                <w:sz w:val="20"/>
                <w:szCs w:val="20"/>
              </w:rPr>
            </w:pPr>
          </w:p>
        </w:tc>
      </w:tr>
      <w:tr w:rsidR="00730618" w:rsidRPr="00730618" w:rsidTr="00730618">
        <w:trPr>
          <w:trHeight w:val="720"/>
        </w:trPr>
        <w:tc>
          <w:tcPr>
            <w:tcW w:w="3559" w:type="dxa"/>
            <w:tcBorders>
              <w:top w:val="nil"/>
              <w:left w:val="single" w:sz="4" w:space="0" w:color="auto"/>
              <w:bottom w:val="single" w:sz="4" w:space="0" w:color="auto"/>
              <w:right w:val="single" w:sz="4" w:space="0" w:color="auto"/>
            </w:tcBorders>
            <w:vAlign w:val="center"/>
            <w:hideMark/>
          </w:tcPr>
          <w:p w:rsidR="00730618" w:rsidRPr="00730618" w:rsidRDefault="00730618" w:rsidP="00730618">
            <w:pPr>
              <w:rPr>
                <w:b/>
                <w:bCs/>
                <w:color w:val="000000" w:themeColor="text1"/>
                <w:sz w:val="20"/>
                <w:szCs w:val="20"/>
              </w:rPr>
            </w:pPr>
            <w:r w:rsidRPr="00730618">
              <w:rPr>
                <w:b/>
                <w:bCs/>
                <w:color w:val="000000" w:themeColor="text1"/>
                <w:sz w:val="20"/>
                <w:szCs w:val="20"/>
              </w:rPr>
              <w:t>1.Отгружено товаров собственного производства, выполнено работ и оказано услуг собственными силами (по полному кругу предприятий)</w:t>
            </w:r>
          </w:p>
        </w:tc>
        <w:tc>
          <w:tcPr>
            <w:tcW w:w="1134" w:type="dxa"/>
            <w:tcBorders>
              <w:top w:val="nil"/>
              <w:left w:val="nil"/>
              <w:bottom w:val="single" w:sz="4" w:space="0" w:color="auto"/>
              <w:right w:val="single" w:sz="4" w:space="0" w:color="auto"/>
            </w:tcBorders>
            <w:noWrap/>
            <w:vAlign w:val="center"/>
            <w:hideMark/>
          </w:tcPr>
          <w:p w:rsidR="00730618" w:rsidRPr="00730618" w:rsidRDefault="00730618" w:rsidP="00730618">
            <w:pPr>
              <w:jc w:val="center"/>
              <w:rPr>
                <w:color w:val="000000" w:themeColor="text1"/>
                <w:sz w:val="20"/>
                <w:szCs w:val="20"/>
              </w:rPr>
            </w:pPr>
            <w:r w:rsidRPr="00730618">
              <w:rPr>
                <w:color w:val="000000" w:themeColor="text1"/>
                <w:sz w:val="20"/>
                <w:szCs w:val="20"/>
              </w:rPr>
              <w:t>млн. руб.</w:t>
            </w:r>
          </w:p>
        </w:tc>
        <w:tc>
          <w:tcPr>
            <w:tcW w:w="1417" w:type="dxa"/>
            <w:tcBorders>
              <w:top w:val="nil"/>
              <w:left w:val="nil"/>
              <w:bottom w:val="single" w:sz="4" w:space="0" w:color="auto"/>
              <w:right w:val="single" w:sz="4" w:space="0" w:color="auto"/>
            </w:tcBorders>
            <w:vAlign w:val="center"/>
            <w:hideMark/>
          </w:tcPr>
          <w:p w:rsidR="00730618" w:rsidRPr="00730618" w:rsidRDefault="00730618" w:rsidP="00730618">
            <w:pPr>
              <w:jc w:val="center"/>
              <w:rPr>
                <w:color w:val="000000" w:themeColor="text1"/>
                <w:sz w:val="20"/>
                <w:szCs w:val="20"/>
              </w:rPr>
            </w:pPr>
            <w:r w:rsidRPr="00730618">
              <w:rPr>
                <w:color w:val="000000" w:themeColor="text1"/>
                <w:sz w:val="20"/>
                <w:szCs w:val="20"/>
              </w:rPr>
              <w:t>6 381,1</w:t>
            </w:r>
          </w:p>
        </w:tc>
        <w:tc>
          <w:tcPr>
            <w:tcW w:w="1559" w:type="dxa"/>
            <w:tcBorders>
              <w:top w:val="nil"/>
              <w:left w:val="nil"/>
              <w:bottom w:val="single" w:sz="4" w:space="0" w:color="auto"/>
              <w:right w:val="single" w:sz="4" w:space="0" w:color="auto"/>
            </w:tcBorders>
            <w:noWrap/>
            <w:vAlign w:val="center"/>
            <w:hideMark/>
          </w:tcPr>
          <w:p w:rsidR="00730618" w:rsidRPr="00730618" w:rsidRDefault="00730618" w:rsidP="00730618">
            <w:pPr>
              <w:jc w:val="center"/>
              <w:rPr>
                <w:color w:val="000000" w:themeColor="text1"/>
                <w:sz w:val="20"/>
                <w:szCs w:val="20"/>
              </w:rPr>
            </w:pPr>
            <w:r w:rsidRPr="00730618">
              <w:rPr>
                <w:color w:val="000000" w:themeColor="text1"/>
                <w:sz w:val="20"/>
                <w:szCs w:val="20"/>
              </w:rPr>
              <w:t>5 781,1</w:t>
            </w:r>
          </w:p>
        </w:tc>
        <w:tc>
          <w:tcPr>
            <w:tcW w:w="1418" w:type="dxa"/>
            <w:tcBorders>
              <w:top w:val="nil"/>
              <w:left w:val="nil"/>
              <w:bottom w:val="single" w:sz="4" w:space="0" w:color="auto"/>
              <w:right w:val="single" w:sz="4" w:space="0" w:color="auto"/>
            </w:tcBorders>
            <w:noWrap/>
            <w:vAlign w:val="center"/>
            <w:hideMark/>
          </w:tcPr>
          <w:p w:rsidR="00730618" w:rsidRPr="00730618" w:rsidRDefault="00730618" w:rsidP="00730618">
            <w:pPr>
              <w:jc w:val="center"/>
              <w:rPr>
                <w:color w:val="000000" w:themeColor="text1"/>
                <w:sz w:val="20"/>
                <w:szCs w:val="20"/>
              </w:rPr>
            </w:pPr>
            <w:r w:rsidRPr="00730618">
              <w:rPr>
                <w:color w:val="000000" w:themeColor="text1"/>
                <w:sz w:val="20"/>
                <w:szCs w:val="20"/>
              </w:rPr>
              <w:t>- 600,0</w:t>
            </w:r>
          </w:p>
        </w:tc>
        <w:tc>
          <w:tcPr>
            <w:tcW w:w="1070" w:type="dxa"/>
            <w:tcBorders>
              <w:top w:val="nil"/>
              <w:left w:val="nil"/>
              <w:bottom w:val="single" w:sz="4" w:space="0" w:color="auto"/>
              <w:right w:val="single" w:sz="4" w:space="0" w:color="auto"/>
            </w:tcBorders>
            <w:noWrap/>
            <w:vAlign w:val="center"/>
            <w:hideMark/>
          </w:tcPr>
          <w:p w:rsidR="00730618" w:rsidRPr="00730618" w:rsidRDefault="00730618" w:rsidP="00730618">
            <w:pPr>
              <w:jc w:val="center"/>
              <w:rPr>
                <w:color w:val="000000" w:themeColor="text1"/>
                <w:sz w:val="20"/>
                <w:szCs w:val="20"/>
              </w:rPr>
            </w:pPr>
            <w:r w:rsidRPr="00730618">
              <w:rPr>
                <w:color w:val="000000" w:themeColor="text1"/>
                <w:sz w:val="20"/>
                <w:szCs w:val="20"/>
              </w:rPr>
              <w:t>- 9,4</w:t>
            </w:r>
          </w:p>
        </w:tc>
      </w:tr>
      <w:tr w:rsidR="00730618" w:rsidRPr="00730618" w:rsidTr="00730618">
        <w:trPr>
          <w:trHeight w:val="1005"/>
        </w:trPr>
        <w:tc>
          <w:tcPr>
            <w:tcW w:w="3559" w:type="dxa"/>
            <w:tcBorders>
              <w:top w:val="nil"/>
              <w:left w:val="single" w:sz="4" w:space="0" w:color="auto"/>
              <w:bottom w:val="single" w:sz="4" w:space="0" w:color="auto"/>
              <w:right w:val="single" w:sz="4" w:space="0" w:color="auto"/>
            </w:tcBorders>
            <w:vAlign w:val="center"/>
            <w:hideMark/>
          </w:tcPr>
          <w:p w:rsidR="00730618" w:rsidRPr="00730618" w:rsidRDefault="00730618" w:rsidP="00730618">
            <w:pPr>
              <w:rPr>
                <w:b/>
                <w:bCs/>
                <w:color w:val="000000" w:themeColor="text1"/>
                <w:sz w:val="20"/>
                <w:szCs w:val="20"/>
              </w:rPr>
            </w:pPr>
            <w:r w:rsidRPr="00730618">
              <w:rPr>
                <w:b/>
                <w:bCs/>
                <w:color w:val="000000" w:themeColor="text1"/>
                <w:sz w:val="20"/>
                <w:szCs w:val="20"/>
              </w:rPr>
              <w:t>2. Валовая продукция сельского хозяйства (хозяйства всех категорий: сельскохозяйственные предприятия, хозяйства населения, КФХ)</w:t>
            </w:r>
          </w:p>
        </w:tc>
        <w:tc>
          <w:tcPr>
            <w:tcW w:w="1134" w:type="dxa"/>
            <w:tcBorders>
              <w:top w:val="nil"/>
              <w:left w:val="nil"/>
              <w:bottom w:val="single" w:sz="4" w:space="0" w:color="auto"/>
              <w:right w:val="single" w:sz="4" w:space="0" w:color="auto"/>
            </w:tcBorders>
            <w:noWrap/>
            <w:vAlign w:val="center"/>
            <w:hideMark/>
          </w:tcPr>
          <w:p w:rsidR="00730618" w:rsidRPr="00730618" w:rsidRDefault="00730618" w:rsidP="00730618">
            <w:pPr>
              <w:jc w:val="center"/>
              <w:rPr>
                <w:color w:val="000000" w:themeColor="text1"/>
                <w:sz w:val="20"/>
                <w:szCs w:val="20"/>
              </w:rPr>
            </w:pPr>
            <w:r w:rsidRPr="00730618">
              <w:rPr>
                <w:color w:val="000000" w:themeColor="text1"/>
                <w:sz w:val="20"/>
                <w:szCs w:val="20"/>
              </w:rPr>
              <w:t>млн. руб.</w:t>
            </w:r>
          </w:p>
        </w:tc>
        <w:tc>
          <w:tcPr>
            <w:tcW w:w="1417" w:type="dxa"/>
            <w:tcBorders>
              <w:top w:val="nil"/>
              <w:left w:val="nil"/>
              <w:bottom w:val="single" w:sz="4" w:space="0" w:color="auto"/>
              <w:right w:val="single" w:sz="4" w:space="0" w:color="auto"/>
            </w:tcBorders>
            <w:noWrap/>
            <w:vAlign w:val="center"/>
            <w:hideMark/>
          </w:tcPr>
          <w:p w:rsidR="00730618" w:rsidRPr="00730618" w:rsidRDefault="00730618" w:rsidP="00730618">
            <w:pPr>
              <w:jc w:val="center"/>
              <w:rPr>
                <w:color w:val="000000" w:themeColor="text1"/>
                <w:sz w:val="20"/>
                <w:szCs w:val="20"/>
              </w:rPr>
            </w:pPr>
            <w:r w:rsidRPr="00730618">
              <w:rPr>
                <w:color w:val="000000" w:themeColor="text1"/>
                <w:sz w:val="20"/>
                <w:szCs w:val="20"/>
              </w:rPr>
              <w:t>684,5</w:t>
            </w:r>
          </w:p>
        </w:tc>
        <w:tc>
          <w:tcPr>
            <w:tcW w:w="1559" w:type="dxa"/>
            <w:tcBorders>
              <w:top w:val="nil"/>
              <w:left w:val="nil"/>
              <w:bottom w:val="single" w:sz="4" w:space="0" w:color="auto"/>
              <w:right w:val="single" w:sz="4" w:space="0" w:color="auto"/>
            </w:tcBorders>
            <w:noWrap/>
            <w:vAlign w:val="center"/>
            <w:hideMark/>
          </w:tcPr>
          <w:p w:rsidR="00730618" w:rsidRPr="00730618" w:rsidRDefault="00730618" w:rsidP="00730618">
            <w:pPr>
              <w:jc w:val="center"/>
              <w:rPr>
                <w:color w:val="000000" w:themeColor="text1"/>
                <w:sz w:val="20"/>
                <w:szCs w:val="20"/>
              </w:rPr>
            </w:pPr>
            <w:r w:rsidRPr="00730618">
              <w:rPr>
                <w:color w:val="000000" w:themeColor="text1"/>
                <w:sz w:val="20"/>
                <w:szCs w:val="20"/>
              </w:rPr>
              <w:t>668,1</w:t>
            </w:r>
          </w:p>
        </w:tc>
        <w:tc>
          <w:tcPr>
            <w:tcW w:w="1418" w:type="dxa"/>
            <w:tcBorders>
              <w:top w:val="nil"/>
              <w:left w:val="nil"/>
              <w:bottom w:val="single" w:sz="4" w:space="0" w:color="auto"/>
              <w:right w:val="single" w:sz="4" w:space="0" w:color="auto"/>
            </w:tcBorders>
            <w:noWrap/>
            <w:vAlign w:val="center"/>
            <w:hideMark/>
          </w:tcPr>
          <w:p w:rsidR="00730618" w:rsidRPr="00730618" w:rsidRDefault="00730618" w:rsidP="00730618">
            <w:pPr>
              <w:jc w:val="center"/>
              <w:rPr>
                <w:color w:val="000000" w:themeColor="text1"/>
                <w:sz w:val="20"/>
                <w:szCs w:val="20"/>
              </w:rPr>
            </w:pPr>
            <w:r w:rsidRPr="00730618">
              <w:rPr>
                <w:color w:val="000000" w:themeColor="text1"/>
                <w:sz w:val="20"/>
                <w:szCs w:val="20"/>
              </w:rPr>
              <w:t>- 16,4</w:t>
            </w:r>
          </w:p>
        </w:tc>
        <w:tc>
          <w:tcPr>
            <w:tcW w:w="1070" w:type="dxa"/>
            <w:tcBorders>
              <w:top w:val="nil"/>
              <w:left w:val="nil"/>
              <w:bottom w:val="single" w:sz="4" w:space="0" w:color="auto"/>
              <w:right w:val="single" w:sz="4" w:space="0" w:color="auto"/>
            </w:tcBorders>
            <w:noWrap/>
            <w:vAlign w:val="center"/>
            <w:hideMark/>
          </w:tcPr>
          <w:p w:rsidR="00730618" w:rsidRPr="00730618" w:rsidRDefault="00730618" w:rsidP="00730618">
            <w:pPr>
              <w:jc w:val="center"/>
              <w:rPr>
                <w:color w:val="000000" w:themeColor="text1"/>
                <w:sz w:val="20"/>
                <w:szCs w:val="20"/>
              </w:rPr>
            </w:pPr>
            <w:r w:rsidRPr="00730618">
              <w:rPr>
                <w:color w:val="000000" w:themeColor="text1"/>
                <w:sz w:val="20"/>
                <w:szCs w:val="20"/>
              </w:rPr>
              <w:t xml:space="preserve">- 2,4 </w:t>
            </w:r>
          </w:p>
        </w:tc>
      </w:tr>
      <w:tr w:rsidR="00730618" w:rsidRPr="00730618" w:rsidTr="00730618">
        <w:trPr>
          <w:trHeight w:val="510"/>
        </w:trPr>
        <w:tc>
          <w:tcPr>
            <w:tcW w:w="3559" w:type="dxa"/>
            <w:tcBorders>
              <w:top w:val="nil"/>
              <w:left w:val="single" w:sz="4" w:space="0" w:color="auto"/>
              <w:bottom w:val="single" w:sz="4" w:space="0" w:color="auto"/>
              <w:right w:val="single" w:sz="4" w:space="0" w:color="auto"/>
            </w:tcBorders>
            <w:vAlign w:val="center"/>
            <w:hideMark/>
          </w:tcPr>
          <w:p w:rsidR="00730618" w:rsidRPr="00730618" w:rsidRDefault="00730618" w:rsidP="00730618">
            <w:pPr>
              <w:rPr>
                <w:b/>
                <w:bCs/>
                <w:color w:val="000000" w:themeColor="text1"/>
                <w:sz w:val="20"/>
                <w:szCs w:val="20"/>
              </w:rPr>
            </w:pPr>
            <w:r w:rsidRPr="00730618">
              <w:rPr>
                <w:b/>
                <w:bCs/>
                <w:color w:val="000000" w:themeColor="text1"/>
                <w:sz w:val="20"/>
                <w:szCs w:val="20"/>
              </w:rPr>
              <w:t xml:space="preserve">3. Численность работников по территории, формирующих ФОТ </w:t>
            </w:r>
          </w:p>
        </w:tc>
        <w:tc>
          <w:tcPr>
            <w:tcW w:w="1134" w:type="dxa"/>
            <w:tcBorders>
              <w:top w:val="nil"/>
              <w:left w:val="nil"/>
              <w:bottom w:val="single" w:sz="4" w:space="0" w:color="auto"/>
              <w:right w:val="single" w:sz="4" w:space="0" w:color="auto"/>
            </w:tcBorders>
            <w:shd w:val="clear" w:color="auto" w:fill="FFFFFF"/>
            <w:vAlign w:val="center"/>
            <w:hideMark/>
          </w:tcPr>
          <w:p w:rsidR="00730618" w:rsidRPr="00730618" w:rsidRDefault="00730618" w:rsidP="00730618">
            <w:pPr>
              <w:jc w:val="center"/>
              <w:rPr>
                <w:color w:val="000000" w:themeColor="text1"/>
                <w:sz w:val="20"/>
                <w:szCs w:val="20"/>
              </w:rPr>
            </w:pPr>
            <w:r w:rsidRPr="00730618">
              <w:rPr>
                <w:color w:val="000000" w:themeColor="text1"/>
                <w:sz w:val="20"/>
                <w:szCs w:val="20"/>
              </w:rPr>
              <w:t>тыс. чел.</w:t>
            </w:r>
          </w:p>
        </w:tc>
        <w:tc>
          <w:tcPr>
            <w:tcW w:w="1417" w:type="dxa"/>
            <w:tcBorders>
              <w:top w:val="nil"/>
              <w:left w:val="nil"/>
              <w:bottom w:val="single" w:sz="4" w:space="0" w:color="auto"/>
              <w:right w:val="single" w:sz="4" w:space="0" w:color="auto"/>
            </w:tcBorders>
            <w:noWrap/>
            <w:vAlign w:val="center"/>
            <w:hideMark/>
          </w:tcPr>
          <w:p w:rsidR="00730618" w:rsidRPr="00730618" w:rsidRDefault="00730618" w:rsidP="00730618">
            <w:pPr>
              <w:jc w:val="center"/>
              <w:rPr>
                <w:color w:val="000000" w:themeColor="text1"/>
                <w:sz w:val="20"/>
                <w:szCs w:val="20"/>
              </w:rPr>
            </w:pPr>
            <w:r w:rsidRPr="00730618">
              <w:rPr>
                <w:color w:val="000000" w:themeColor="text1"/>
                <w:sz w:val="20"/>
                <w:szCs w:val="20"/>
              </w:rPr>
              <w:t>11,98</w:t>
            </w:r>
          </w:p>
        </w:tc>
        <w:tc>
          <w:tcPr>
            <w:tcW w:w="1559" w:type="dxa"/>
            <w:tcBorders>
              <w:top w:val="nil"/>
              <w:left w:val="nil"/>
              <w:bottom w:val="single" w:sz="4" w:space="0" w:color="auto"/>
              <w:right w:val="single" w:sz="4" w:space="0" w:color="auto"/>
            </w:tcBorders>
            <w:noWrap/>
            <w:vAlign w:val="center"/>
            <w:hideMark/>
          </w:tcPr>
          <w:p w:rsidR="00730618" w:rsidRPr="00730618" w:rsidRDefault="00730618" w:rsidP="00730618">
            <w:pPr>
              <w:jc w:val="center"/>
              <w:rPr>
                <w:color w:val="000000" w:themeColor="text1"/>
                <w:sz w:val="20"/>
                <w:szCs w:val="20"/>
              </w:rPr>
            </w:pPr>
            <w:r w:rsidRPr="00730618">
              <w:rPr>
                <w:color w:val="000000" w:themeColor="text1"/>
                <w:sz w:val="20"/>
                <w:szCs w:val="20"/>
              </w:rPr>
              <w:t>11,68</w:t>
            </w:r>
          </w:p>
        </w:tc>
        <w:tc>
          <w:tcPr>
            <w:tcW w:w="1418" w:type="dxa"/>
            <w:tcBorders>
              <w:top w:val="nil"/>
              <w:left w:val="nil"/>
              <w:bottom w:val="single" w:sz="4" w:space="0" w:color="auto"/>
              <w:right w:val="single" w:sz="4" w:space="0" w:color="auto"/>
            </w:tcBorders>
            <w:noWrap/>
            <w:vAlign w:val="center"/>
            <w:hideMark/>
          </w:tcPr>
          <w:p w:rsidR="00730618" w:rsidRPr="00730618" w:rsidRDefault="00730618" w:rsidP="00730618">
            <w:pPr>
              <w:jc w:val="center"/>
              <w:rPr>
                <w:color w:val="000000" w:themeColor="text1"/>
                <w:sz w:val="20"/>
                <w:szCs w:val="20"/>
              </w:rPr>
            </w:pPr>
            <w:r w:rsidRPr="00730618">
              <w:rPr>
                <w:color w:val="000000" w:themeColor="text1"/>
                <w:sz w:val="20"/>
                <w:szCs w:val="20"/>
              </w:rPr>
              <w:t xml:space="preserve">- 0,3 </w:t>
            </w:r>
          </w:p>
        </w:tc>
        <w:tc>
          <w:tcPr>
            <w:tcW w:w="1070" w:type="dxa"/>
            <w:tcBorders>
              <w:top w:val="nil"/>
              <w:left w:val="nil"/>
              <w:bottom w:val="single" w:sz="4" w:space="0" w:color="auto"/>
              <w:right w:val="single" w:sz="4" w:space="0" w:color="auto"/>
            </w:tcBorders>
            <w:noWrap/>
            <w:vAlign w:val="center"/>
            <w:hideMark/>
          </w:tcPr>
          <w:p w:rsidR="00730618" w:rsidRPr="00730618" w:rsidRDefault="00730618" w:rsidP="00730618">
            <w:pPr>
              <w:jc w:val="center"/>
              <w:rPr>
                <w:color w:val="000000" w:themeColor="text1"/>
                <w:sz w:val="20"/>
                <w:szCs w:val="20"/>
              </w:rPr>
            </w:pPr>
            <w:r w:rsidRPr="00730618">
              <w:rPr>
                <w:color w:val="000000" w:themeColor="text1"/>
                <w:sz w:val="20"/>
                <w:szCs w:val="20"/>
              </w:rPr>
              <w:t>- 2,5</w:t>
            </w:r>
          </w:p>
        </w:tc>
      </w:tr>
      <w:tr w:rsidR="00730618" w:rsidRPr="00730618" w:rsidTr="00730618">
        <w:trPr>
          <w:trHeight w:val="420"/>
        </w:trPr>
        <w:tc>
          <w:tcPr>
            <w:tcW w:w="3559" w:type="dxa"/>
            <w:tcBorders>
              <w:top w:val="nil"/>
              <w:left w:val="single" w:sz="4" w:space="0" w:color="auto"/>
              <w:bottom w:val="single" w:sz="4" w:space="0" w:color="auto"/>
              <w:right w:val="single" w:sz="4" w:space="0" w:color="auto"/>
            </w:tcBorders>
            <w:vAlign w:val="center"/>
            <w:hideMark/>
          </w:tcPr>
          <w:p w:rsidR="00730618" w:rsidRPr="00730618" w:rsidRDefault="00730618" w:rsidP="00730618">
            <w:pPr>
              <w:rPr>
                <w:b/>
                <w:bCs/>
                <w:color w:val="000000" w:themeColor="text1"/>
                <w:sz w:val="20"/>
                <w:szCs w:val="20"/>
              </w:rPr>
            </w:pPr>
            <w:r w:rsidRPr="00730618">
              <w:rPr>
                <w:b/>
                <w:bCs/>
                <w:color w:val="000000" w:themeColor="text1"/>
                <w:sz w:val="20"/>
                <w:szCs w:val="20"/>
              </w:rPr>
              <w:t xml:space="preserve">4. Фонд заработной платы, всего </w:t>
            </w:r>
          </w:p>
        </w:tc>
        <w:tc>
          <w:tcPr>
            <w:tcW w:w="1134" w:type="dxa"/>
            <w:tcBorders>
              <w:top w:val="nil"/>
              <w:left w:val="nil"/>
              <w:bottom w:val="single" w:sz="4" w:space="0" w:color="auto"/>
              <w:right w:val="single" w:sz="4" w:space="0" w:color="auto"/>
            </w:tcBorders>
            <w:shd w:val="clear" w:color="auto" w:fill="FFFFFF"/>
            <w:vAlign w:val="center"/>
            <w:hideMark/>
          </w:tcPr>
          <w:p w:rsidR="00730618" w:rsidRPr="00730618" w:rsidRDefault="00730618" w:rsidP="00730618">
            <w:pPr>
              <w:jc w:val="center"/>
              <w:rPr>
                <w:color w:val="000000" w:themeColor="text1"/>
                <w:sz w:val="20"/>
                <w:szCs w:val="20"/>
              </w:rPr>
            </w:pPr>
            <w:r w:rsidRPr="00730618">
              <w:rPr>
                <w:color w:val="000000" w:themeColor="text1"/>
                <w:sz w:val="20"/>
                <w:szCs w:val="20"/>
              </w:rPr>
              <w:t>млн. руб.</w:t>
            </w:r>
          </w:p>
        </w:tc>
        <w:tc>
          <w:tcPr>
            <w:tcW w:w="1417" w:type="dxa"/>
            <w:tcBorders>
              <w:top w:val="nil"/>
              <w:left w:val="nil"/>
              <w:bottom w:val="single" w:sz="4" w:space="0" w:color="auto"/>
              <w:right w:val="single" w:sz="4" w:space="0" w:color="auto"/>
            </w:tcBorders>
            <w:noWrap/>
            <w:vAlign w:val="center"/>
            <w:hideMark/>
          </w:tcPr>
          <w:p w:rsidR="00730618" w:rsidRPr="00730618" w:rsidRDefault="00730618" w:rsidP="00730618">
            <w:pPr>
              <w:jc w:val="center"/>
              <w:rPr>
                <w:color w:val="000000" w:themeColor="text1"/>
                <w:sz w:val="20"/>
                <w:szCs w:val="20"/>
              </w:rPr>
            </w:pPr>
            <w:r w:rsidRPr="00730618">
              <w:rPr>
                <w:color w:val="000000" w:themeColor="text1"/>
                <w:sz w:val="20"/>
                <w:szCs w:val="20"/>
              </w:rPr>
              <w:t>2 850,0</w:t>
            </w:r>
          </w:p>
        </w:tc>
        <w:tc>
          <w:tcPr>
            <w:tcW w:w="1559" w:type="dxa"/>
            <w:tcBorders>
              <w:top w:val="nil"/>
              <w:left w:val="nil"/>
              <w:bottom w:val="single" w:sz="4" w:space="0" w:color="auto"/>
              <w:right w:val="single" w:sz="4" w:space="0" w:color="auto"/>
            </w:tcBorders>
            <w:noWrap/>
            <w:vAlign w:val="center"/>
            <w:hideMark/>
          </w:tcPr>
          <w:p w:rsidR="00730618" w:rsidRPr="00730618" w:rsidRDefault="00730618" w:rsidP="00730618">
            <w:pPr>
              <w:jc w:val="center"/>
              <w:rPr>
                <w:color w:val="000000" w:themeColor="text1"/>
                <w:sz w:val="20"/>
                <w:szCs w:val="20"/>
              </w:rPr>
            </w:pPr>
            <w:r w:rsidRPr="00730618">
              <w:rPr>
                <w:color w:val="000000" w:themeColor="text1"/>
                <w:sz w:val="20"/>
                <w:szCs w:val="20"/>
              </w:rPr>
              <w:t>2 917,1</w:t>
            </w:r>
          </w:p>
        </w:tc>
        <w:tc>
          <w:tcPr>
            <w:tcW w:w="1418" w:type="dxa"/>
            <w:tcBorders>
              <w:top w:val="nil"/>
              <w:left w:val="nil"/>
              <w:bottom w:val="single" w:sz="4" w:space="0" w:color="auto"/>
              <w:right w:val="single" w:sz="4" w:space="0" w:color="auto"/>
            </w:tcBorders>
            <w:noWrap/>
            <w:vAlign w:val="center"/>
            <w:hideMark/>
          </w:tcPr>
          <w:p w:rsidR="00730618" w:rsidRPr="00730618" w:rsidRDefault="00730618" w:rsidP="00730618">
            <w:pPr>
              <w:jc w:val="center"/>
              <w:rPr>
                <w:color w:val="000000" w:themeColor="text1"/>
                <w:sz w:val="20"/>
                <w:szCs w:val="20"/>
              </w:rPr>
            </w:pPr>
            <w:r w:rsidRPr="00730618">
              <w:rPr>
                <w:color w:val="000000" w:themeColor="text1"/>
                <w:sz w:val="20"/>
                <w:szCs w:val="20"/>
              </w:rPr>
              <w:t>67,1</w:t>
            </w:r>
          </w:p>
        </w:tc>
        <w:tc>
          <w:tcPr>
            <w:tcW w:w="1070" w:type="dxa"/>
            <w:tcBorders>
              <w:top w:val="nil"/>
              <w:left w:val="nil"/>
              <w:bottom w:val="single" w:sz="4" w:space="0" w:color="auto"/>
              <w:right w:val="single" w:sz="4" w:space="0" w:color="auto"/>
            </w:tcBorders>
            <w:noWrap/>
            <w:vAlign w:val="center"/>
            <w:hideMark/>
          </w:tcPr>
          <w:p w:rsidR="00730618" w:rsidRPr="00730618" w:rsidRDefault="00730618" w:rsidP="00730618">
            <w:pPr>
              <w:jc w:val="center"/>
              <w:rPr>
                <w:color w:val="000000" w:themeColor="text1"/>
                <w:sz w:val="20"/>
                <w:szCs w:val="20"/>
              </w:rPr>
            </w:pPr>
            <w:r w:rsidRPr="00730618">
              <w:rPr>
                <w:color w:val="000000" w:themeColor="text1"/>
                <w:sz w:val="20"/>
                <w:szCs w:val="20"/>
              </w:rPr>
              <w:t>2,4</w:t>
            </w:r>
          </w:p>
        </w:tc>
      </w:tr>
    </w:tbl>
    <w:p w:rsidR="00730618" w:rsidRPr="00730618" w:rsidRDefault="00730618" w:rsidP="00730618">
      <w:pPr>
        <w:widowControl w:val="0"/>
        <w:autoSpaceDE w:val="0"/>
        <w:autoSpaceDN w:val="0"/>
        <w:adjustRightInd w:val="0"/>
        <w:ind w:firstLine="540"/>
        <w:jc w:val="both"/>
        <w:rPr>
          <w:color w:val="000000" w:themeColor="text1"/>
          <w:sz w:val="27"/>
          <w:szCs w:val="27"/>
        </w:rPr>
      </w:pPr>
    </w:p>
    <w:p w:rsidR="00730618" w:rsidRPr="00730618" w:rsidRDefault="00730618" w:rsidP="00730618">
      <w:pPr>
        <w:widowControl w:val="0"/>
        <w:autoSpaceDE w:val="0"/>
        <w:autoSpaceDN w:val="0"/>
        <w:adjustRightInd w:val="0"/>
        <w:spacing w:line="276" w:lineRule="auto"/>
        <w:ind w:firstLine="709"/>
        <w:jc w:val="both"/>
        <w:rPr>
          <w:rFonts w:eastAsia="Gulim"/>
          <w:color w:val="000000" w:themeColor="text1"/>
          <w:sz w:val="27"/>
          <w:szCs w:val="27"/>
        </w:rPr>
      </w:pPr>
      <w:r w:rsidRPr="00730618">
        <w:rPr>
          <w:color w:val="000000" w:themeColor="text1"/>
          <w:sz w:val="27"/>
          <w:szCs w:val="27"/>
        </w:rPr>
        <w:t xml:space="preserve">По показателю «Отгружено товаров собственного производства, выполнено работ и оказано услуг собственными силами (по полному кругу предприятий)» наблюдается снижение на 9,4% относительно показателя, разработанного в 2017 году, </w:t>
      </w:r>
      <w:r w:rsidRPr="00730618">
        <w:rPr>
          <w:rFonts w:eastAsia="Gulim"/>
          <w:color w:val="000000" w:themeColor="text1"/>
          <w:sz w:val="27"/>
          <w:szCs w:val="27"/>
        </w:rPr>
        <w:t>в связи с замедление темпов роста производства АО «Молоко».</w:t>
      </w:r>
    </w:p>
    <w:p w:rsidR="00730618" w:rsidRPr="00730618" w:rsidRDefault="00730618" w:rsidP="00730618">
      <w:pPr>
        <w:widowControl w:val="0"/>
        <w:autoSpaceDE w:val="0"/>
        <w:autoSpaceDN w:val="0"/>
        <w:adjustRightInd w:val="0"/>
        <w:spacing w:line="276" w:lineRule="auto"/>
        <w:ind w:firstLine="709"/>
        <w:jc w:val="both"/>
        <w:rPr>
          <w:rFonts w:eastAsia="Gulim"/>
          <w:color w:val="000000" w:themeColor="text1"/>
          <w:sz w:val="27"/>
          <w:szCs w:val="27"/>
        </w:rPr>
      </w:pPr>
      <w:proofErr w:type="gramStart"/>
      <w:r w:rsidRPr="00730618">
        <w:rPr>
          <w:rFonts w:eastAsia="Gulim"/>
          <w:color w:val="000000" w:themeColor="text1"/>
          <w:sz w:val="27"/>
          <w:szCs w:val="27"/>
        </w:rPr>
        <w:t>Значения показателя «Валовая продукция сельского хозяйства (хозяйства всех категорий: сельскохозяйственные предприятия, хозяйства населения, КФХ)» на 2019 год снизился по сравнению с запланированным ранее на 2,4% в связи со снижением объемов валовой продукции сельского хозяйства в хозяйствах населения.</w:t>
      </w:r>
      <w:proofErr w:type="gramEnd"/>
    </w:p>
    <w:p w:rsidR="00730618" w:rsidRPr="00730618" w:rsidRDefault="00730618" w:rsidP="00730618">
      <w:pPr>
        <w:widowControl w:val="0"/>
        <w:autoSpaceDE w:val="0"/>
        <w:autoSpaceDN w:val="0"/>
        <w:adjustRightInd w:val="0"/>
        <w:spacing w:line="276" w:lineRule="auto"/>
        <w:ind w:firstLine="709"/>
        <w:jc w:val="both"/>
        <w:rPr>
          <w:rFonts w:eastAsia="Gulim"/>
          <w:color w:val="000000" w:themeColor="text1"/>
          <w:sz w:val="27"/>
          <w:szCs w:val="27"/>
        </w:rPr>
      </w:pPr>
      <w:proofErr w:type="gramStart"/>
      <w:r w:rsidRPr="00730618">
        <w:rPr>
          <w:rFonts w:eastAsia="Gulim"/>
          <w:color w:val="000000" w:themeColor="text1"/>
          <w:sz w:val="27"/>
          <w:szCs w:val="27"/>
        </w:rPr>
        <w:t xml:space="preserve">Значение показателя «Численность работников по территории, формирующих ФОТ» на 2019 год снизился по сравнению с запланированным ранее на 2,5% по причине низкой динамики по данному показателю в 2017 и 2018 годах (в результате снижения численности работников по учреждениям бюджетной сферы и предприятий железнодорожной отрасли). </w:t>
      </w:r>
      <w:proofErr w:type="gramEnd"/>
    </w:p>
    <w:p w:rsidR="00730618" w:rsidRPr="00730618" w:rsidRDefault="00730618" w:rsidP="00730618">
      <w:pPr>
        <w:widowControl w:val="0"/>
        <w:autoSpaceDE w:val="0"/>
        <w:autoSpaceDN w:val="0"/>
        <w:adjustRightInd w:val="0"/>
        <w:spacing w:line="276" w:lineRule="auto"/>
        <w:ind w:firstLine="709"/>
        <w:jc w:val="both"/>
        <w:rPr>
          <w:color w:val="000000" w:themeColor="text1"/>
          <w:sz w:val="22"/>
          <w:szCs w:val="27"/>
        </w:rPr>
      </w:pPr>
      <w:proofErr w:type="gramStart"/>
      <w:r w:rsidRPr="00730618">
        <w:rPr>
          <w:color w:val="000000" w:themeColor="text1"/>
          <w:sz w:val="27"/>
          <w:szCs w:val="27"/>
        </w:rPr>
        <w:t>Значение  показателя «Фонд заработной платы» на 2019 год увеличился по сравнению с запланированным ранее на 2,4% в связи с увеличением темпов роста фонда оплаты труда в 2017 и 2018 году.</w:t>
      </w:r>
      <w:proofErr w:type="gramEnd"/>
    </w:p>
    <w:p w:rsidR="00730618" w:rsidRPr="00730618" w:rsidRDefault="00730618" w:rsidP="00730618">
      <w:pPr>
        <w:spacing w:line="360" w:lineRule="auto"/>
        <w:jc w:val="both"/>
        <w:rPr>
          <w:color w:val="000000" w:themeColor="text1"/>
          <w:sz w:val="22"/>
          <w:szCs w:val="27"/>
        </w:rPr>
      </w:pPr>
    </w:p>
    <w:p w:rsidR="00730618" w:rsidRPr="00730618" w:rsidRDefault="00730618" w:rsidP="00730618">
      <w:pPr>
        <w:spacing w:line="360" w:lineRule="auto"/>
        <w:jc w:val="center"/>
        <w:rPr>
          <w:color w:val="000000" w:themeColor="text1"/>
          <w:sz w:val="22"/>
          <w:szCs w:val="27"/>
        </w:rPr>
      </w:pPr>
    </w:p>
    <w:p w:rsidR="00FC6FD9" w:rsidRPr="00C95654" w:rsidRDefault="00730618" w:rsidP="00730618">
      <w:pPr>
        <w:spacing w:line="360" w:lineRule="auto"/>
        <w:jc w:val="center"/>
        <w:rPr>
          <w:sz w:val="22"/>
          <w:szCs w:val="22"/>
        </w:rPr>
      </w:pPr>
      <w:r w:rsidRPr="00730618">
        <w:rPr>
          <w:color w:val="000000" w:themeColor="text1"/>
          <w:sz w:val="22"/>
          <w:szCs w:val="27"/>
        </w:rPr>
        <w:t>__________________________</w:t>
      </w:r>
      <w:r>
        <w:rPr>
          <w:sz w:val="22"/>
          <w:szCs w:val="27"/>
        </w:rPr>
        <w:t>_____</w:t>
      </w:r>
    </w:p>
    <w:sectPr w:rsidR="00FC6FD9" w:rsidRPr="00C95654" w:rsidSect="004D2212">
      <w:pgSz w:w="11909" w:h="16834"/>
      <w:pgMar w:top="993" w:right="569" w:bottom="568"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F15" w:rsidRDefault="00A07F15">
      <w:r>
        <w:separator/>
      </w:r>
    </w:p>
  </w:endnote>
  <w:endnote w:type="continuationSeparator" w:id="0">
    <w:p w:rsidR="00A07F15" w:rsidRDefault="00A0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F15" w:rsidRDefault="00A07F15">
      <w:r>
        <w:separator/>
      </w:r>
    </w:p>
  </w:footnote>
  <w:footnote w:type="continuationSeparator" w:id="0">
    <w:p w:rsidR="00A07F15" w:rsidRDefault="00A07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3">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1">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6">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7">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28">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36">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7"/>
  </w:num>
  <w:num w:numId="5">
    <w:abstractNumId w:val="20"/>
  </w:num>
  <w:num w:numId="6">
    <w:abstractNumId w:val="26"/>
  </w:num>
  <w:num w:numId="7">
    <w:abstractNumId w:val="2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36"/>
  </w:num>
  <w:num w:numId="11">
    <w:abstractNumId w:val="38"/>
  </w:num>
  <w:num w:numId="12">
    <w:abstractNumId w:val="12"/>
  </w:num>
  <w:num w:numId="13">
    <w:abstractNumId w:val="16"/>
  </w:num>
  <w:num w:numId="14">
    <w:abstractNumId w:val="3"/>
  </w:num>
  <w:num w:numId="15">
    <w:abstractNumId w:val="13"/>
  </w:num>
  <w:num w:numId="16">
    <w:abstractNumId w:val="24"/>
  </w:num>
  <w:num w:numId="17">
    <w:abstractNumId w:val="10"/>
  </w:num>
  <w:num w:numId="18">
    <w:abstractNumId w:val="21"/>
  </w:num>
  <w:num w:numId="19">
    <w:abstractNumId w:val="32"/>
  </w:num>
  <w:num w:numId="20">
    <w:abstractNumId w:val="28"/>
  </w:num>
  <w:num w:numId="21">
    <w:abstractNumId w:val="27"/>
  </w:num>
  <w:num w:numId="22">
    <w:abstractNumId w:val="19"/>
  </w:num>
  <w:num w:numId="23">
    <w:abstractNumId w:val="6"/>
  </w:num>
  <w:num w:numId="24">
    <w:abstractNumId w:val="7"/>
  </w:num>
  <w:num w:numId="25">
    <w:abstractNumId w:val="18"/>
  </w:num>
  <w:num w:numId="26">
    <w:abstractNumId w:val="2"/>
  </w:num>
  <w:num w:numId="27">
    <w:abstractNumId w:val="17"/>
  </w:num>
  <w:num w:numId="28">
    <w:abstractNumId w:val="33"/>
  </w:num>
  <w:num w:numId="29">
    <w:abstractNumId w:val="31"/>
  </w:num>
  <w:num w:numId="30">
    <w:abstractNumId w:val="15"/>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3"/>
  </w:num>
  <w:num w:numId="35">
    <w:abstractNumId w:val="29"/>
  </w:num>
  <w:num w:numId="36">
    <w:abstractNumId w:val="5"/>
  </w:num>
  <w:num w:numId="37">
    <w:abstractNumId w:val="11"/>
  </w:num>
  <w:num w:numId="38">
    <w:abstractNumId w:val="14"/>
  </w:num>
  <w:num w:numId="39">
    <w:abstractNumId w:val="9"/>
  </w:num>
  <w:num w:numId="40">
    <w:abstractNumId w:val="4"/>
  </w:num>
  <w:num w:numId="41">
    <w:abstractNumId w:val="0"/>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3DC2"/>
    <w:rsid w:val="0002442A"/>
    <w:rsid w:val="00025132"/>
    <w:rsid w:val="0003118E"/>
    <w:rsid w:val="00034126"/>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06BE1"/>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39E6"/>
    <w:rsid w:val="0016017B"/>
    <w:rsid w:val="00160E0A"/>
    <w:rsid w:val="0016521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5480"/>
    <w:rsid w:val="00235EE1"/>
    <w:rsid w:val="00235F98"/>
    <w:rsid w:val="00236839"/>
    <w:rsid w:val="0024014D"/>
    <w:rsid w:val="002408EF"/>
    <w:rsid w:val="002414DB"/>
    <w:rsid w:val="002450A8"/>
    <w:rsid w:val="0024678B"/>
    <w:rsid w:val="002504F6"/>
    <w:rsid w:val="002544FF"/>
    <w:rsid w:val="0025574F"/>
    <w:rsid w:val="00257856"/>
    <w:rsid w:val="002600F2"/>
    <w:rsid w:val="00260385"/>
    <w:rsid w:val="00261ECC"/>
    <w:rsid w:val="0026288F"/>
    <w:rsid w:val="00264170"/>
    <w:rsid w:val="002720E3"/>
    <w:rsid w:val="00272450"/>
    <w:rsid w:val="002731D6"/>
    <w:rsid w:val="00273BE9"/>
    <w:rsid w:val="002831DA"/>
    <w:rsid w:val="0029350F"/>
    <w:rsid w:val="00293585"/>
    <w:rsid w:val="00295040"/>
    <w:rsid w:val="00295F28"/>
    <w:rsid w:val="002A42FC"/>
    <w:rsid w:val="002B1E39"/>
    <w:rsid w:val="002C0EF0"/>
    <w:rsid w:val="002C4CF6"/>
    <w:rsid w:val="002C594F"/>
    <w:rsid w:val="002C68C0"/>
    <w:rsid w:val="002D04E0"/>
    <w:rsid w:val="002D37DD"/>
    <w:rsid w:val="002D637D"/>
    <w:rsid w:val="002D6EC6"/>
    <w:rsid w:val="002E2AA2"/>
    <w:rsid w:val="002E386E"/>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948"/>
    <w:rsid w:val="00327E00"/>
    <w:rsid w:val="00331520"/>
    <w:rsid w:val="00331601"/>
    <w:rsid w:val="00335844"/>
    <w:rsid w:val="0033592C"/>
    <w:rsid w:val="00346F45"/>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7B5A"/>
    <w:rsid w:val="0043080E"/>
    <w:rsid w:val="004320AC"/>
    <w:rsid w:val="0043465F"/>
    <w:rsid w:val="00436033"/>
    <w:rsid w:val="004376D4"/>
    <w:rsid w:val="004439B5"/>
    <w:rsid w:val="00451A45"/>
    <w:rsid w:val="00453DA4"/>
    <w:rsid w:val="00454572"/>
    <w:rsid w:val="00456AD6"/>
    <w:rsid w:val="00456DD7"/>
    <w:rsid w:val="0045754A"/>
    <w:rsid w:val="00461338"/>
    <w:rsid w:val="00465034"/>
    <w:rsid w:val="0046681D"/>
    <w:rsid w:val="00467B42"/>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50413"/>
    <w:rsid w:val="00556739"/>
    <w:rsid w:val="0056059A"/>
    <w:rsid w:val="00562D9C"/>
    <w:rsid w:val="00562EB6"/>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7763"/>
    <w:rsid w:val="00607DF5"/>
    <w:rsid w:val="006156CE"/>
    <w:rsid w:val="0062297D"/>
    <w:rsid w:val="0062403F"/>
    <w:rsid w:val="00624259"/>
    <w:rsid w:val="006249E2"/>
    <w:rsid w:val="0062671F"/>
    <w:rsid w:val="006268E4"/>
    <w:rsid w:val="00626BAE"/>
    <w:rsid w:val="006338B0"/>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A07BB"/>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0618"/>
    <w:rsid w:val="007331FA"/>
    <w:rsid w:val="007406DD"/>
    <w:rsid w:val="00743678"/>
    <w:rsid w:val="007453F9"/>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41D6"/>
    <w:rsid w:val="007B5FD1"/>
    <w:rsid w:val="007B633F"/>
    <w:rsid w:val="007C0325"/>
    <w:rsid w:val="007C1AAB"/>
    <w:rsid w:val="007C4681"/>
    <w:rsid w:val="007C540B"/>
    <w:rsid w:val="007C545E"/>
    <w:rsid w:val="007D1534"/>
    <w:rsid w:val="007D537E"/>
    <w:rsid w:val="007E0D2B"/>
    <w:rsid w:val="007E5FAC"/>
    <w:rsid w:val="007E6B31"/>
    <w:rsid w:val="007F0837"/>
    <w:rsid w:val="007F4D6E"/>
    <w:rsid w:val="0080122F"/>
    <w:rsid w:val="00802C3F"/>
    <w:rsid w:val="008067E6"/>
    <w:rsid w:val="00810C99"/>
    <w:rsid w:val="0081175D"/>
    <w:rsid w:val="00812773"/>
    <w:rsid w:val="00813129"/>
    <w:rsid w:val="00813A60"/>
    <w:rsid w:val="008141DA"/>
    <w:rsid w:val="00814731"/>
    <w:rsid w:val="00815012"/>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75F"/>
    <w:rsid w:val="008721DB"/>
    <w:rsid w:val="00874CF0"/>
    <w:rsid w:val="00876AEA"/>
    <w:rsid w:val="0087708A"/>
    <w:rsid w:val="00880E00"/>
    <w:rsid w:val="00881DD9"/>
    <w:rsid w:val="0088265E"/>
    <w:rsid w:val="008833E2"/>
    <w:rsid w:val="008916C5"/>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20FF"/>
    <w:rsid w:val="008C268D"/>
    <w:rsid w:val="008C4835"/>
    <w:rsid w:val="008C7CD6"/>
    <w:rsid w:val="008D2157"/>
    <w:rsid w:val="008D2A0B"/>
    <w:rsid w:val="008D3DDC"/>
    <w:rsid w:val="008D7A59"/>
    <w:rsid w:val="008E085A"/>
    <w:rsid w:val="008E1ECA"/>
    <w:rsid w:val="008E2D24"/>
    <w:rsid w:val="008E6D12"/>
    <w:rsid w:val="008F076E"/>
    <w:rsid w:val="008F085A"/>
    <w:rsid w:val="008F1DB5"/>
    <w:rsid w:val="008F58B4"/>
    <w:rsid w:val="0090104A"/>
    <w:rsid w:val="0090192F"/>
    <w:rsid w:val="009035C8"/>
    <w:rsid w:val="00910E46"/>
    <w:rsid w:val="00911061"/>
    <w:rsid w:val="009168D7"/>
    <w:rsid w:val="00916EE9"/>
    <w:rsid w:val="0092044D"/>
    <w:rsid w:val="009209F3"/>
    <w:rsid w:val="00923C3D"/>
    <w:rsid w:val="0092581C"/>
    <w:rsid w:val="009263E2"/>
    <w:rsid w:val="00931272"/>
    <w:rsid w:val="00931D4B"/>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31A5"/>
    <w:rsid w:val="00984C10"/>
    <w:rsid w:val="0098636B"/>
    <w:rsid w:val="00986948"/>
    <w:rsid w:val="00986F6E"/>
    <w:rsid w:val="00987280"/>
    <w:rsid w:val="00992231"/>
    <w:rsid w:val="009B08B1"/>
    <w:rsid w:val="009B3258"/>
    <w:rsid w:val="009B68AD"/>
    <w:rsid w:val="009C044A"/>
    <w:rsid w:val="009C0843"/>
    <w:rsid w:val="009C174B"/>
    <w:rsid w:val="009C2C76"/>
    <w:rsid w:val="009C58C2"/>
    <w:rsid w:val="009D011A"/>
    <w:rsid w:val="009D0893"/>
    <w:rsid w:val="009D380C"/>
    <w:rsid w:val="009D3C97"/>
    <w:rsid w:val="009D40FC"/>
    <w:rsid w:val="009D4DE7"/>
    <w:rsid w:val="009D6A48"/>
    <w:rsid w:val="009D74D4"/>
    <w:rsid w:val="009E0192"/>
    <w:rsid w:val="009E1240"/>
    <w:rsid w:val="009E29FD"/>
    <w:rsid w:val="009E2CE4"/>
    <w:rsid w:val="009F36BD"/>
    <w:rsid w:val="009F61F7"/>
    <w:rsid w:val="009F6833"/>
    <w:rsid w:val="00A0200B"/>
    <w:rsid w:val="00A02308"/>
    <w:rsid w:val="00A04411"/>
    <w:rsid w:val="00A07F15"/>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41F7"/>
    <w:rsid w:val="00A64F2F"/>
    <w:rsid w:val="00A67CAE"/>
    <w:rsid w:val="00A72435"/>
    <w:rsid w:val="00A7499E"/>
    <w:rsid w:val="00A764C4"/>
    <w:rsid w:val="00A80299"/>
    <w:rsid w:val="00A91135"/>
    <w:rsid w:val="00A92506"/>
    <w:rsid w:val="00AA1CD1"/>
    <w:rsid w:val="00AA4953"/>
    <w:rsid w:val="00AA7A04"/>
    <w:rsid w:val="00AC1B9C"/>
    <w:rsid w:val="00AC4F48"/>
    <w:rsid w:val="00AC5DCE"/>
    <w:rsid w:val="00AD2ACA"/>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5B26"/>
    <w:rsid w:val="00B76616"/>
    <w:rsid w:val="00B81317"/>
    <w:rsid w:val="00B82CD2"/>
    <w:rsid w:val="00B84FBB"/>
    <w:rsid w:val="00B84FF8"/>
    <w:rsid w:val="00B929CB"/>
    <w:rsid w:val="00B94B15"/>
    <w:rsid w:val="00B974FE"/>
    <w:rsid w:val="00B97A72"/>
    <w:rsid w:val="00BA0036"/>
    <w:rsid w:val="00BA2933"/>
    <w:rsid w:val="00BB0281"/>
    <w:rsid w:val="00BB0FF6"/>
    <w:rsid w:val="00BB1995"/>
    <w:rsid w:val="00BB205E"/>
    <w:rsid w:val="00BB3910"/>
    <w:rsid w:val="00BB5188"/>
    <w:rsid w:val="00BC0454"/>
    <w:rsid w:val="00BC16EA"/>
    <w:rsid w:val="00BC3687"/>
    <w:rsid w:val="00BD12E4"/>
    <w:rsid w:val="00BD2267"/>
    <w:rsid w:val="00BD3EA6"/>
    <w:rsid w:val="00BD4A4D"/>
    <w:rsid w:val="00BD7D09"/>
    <w:rsid w:val="00BE12F6"/>
    <w:rsid w:val="00BE4570"/>
    <w:rsid w:val="00BF0601"/>
    <w:rsid w:val="00BF7E36"/>
    <w:rsid w:val="00C0046A"/>
    <w:rsid w:val="00C018A4"/>
    <w:rsid w:val="00C06BE9"/>
    <w:rsid w:val="00C12DDC"/>
    <w:rsid w:val="00C14FB9"/>
    <w:rsid w:val="00C14FF5"/>
    <w:rsid w:val="00C16514"/>
    <w:rsid w:val="00C17896"/>
    <w:rsid w:val="00C2287D"/>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77FFC"/>
    <w:rsid w:val="00C80B80"/>
    <w:rsid w:val="00C927F7"/>
    <w:rsid w:val="00C95654"/>
    <w:rsid w:val="00C963D3"/>
    <w:rsid w:val="00CA3473"/>
    <w:rsid w:val="00CA7F41"/>
    <w:rsid w:val="00CB1A37"/>
    <w:rsid w:val="00CB3DDC"/>
    <w:rsid w:val="00CB493E"/>
    <w:rsid w:val="00CB5A0A"/>
    <w:rsid w:val="00CB7CDF"/>
    <w:rsid w:val="00CC4297"/>
    <w:rsid w:val="00CC68B3"/>
    <w:rsid w:val="00CC6D99"/>
    <w:rsid w:val="00CD5B8A"/>
    <w:rsid w:val="00CD7A18"/>
    <w:rsid w:val="00CE7324"/>
    <w:rsid w:val="00CF1488"/>
    <w:rsid w:val="00CF18C6"/>
    <w:rsid w:val="00CF1EAD"/>
    <w:rsid w:val="00CF4AA6"/>
    <w:rsid w:val="00CF6281"/>
    <w:rsid w:val="00CF658C"/>
    <w:rsid w:val="00D0064A"/>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926"/>
    <w:rsid w:val="00D6249D"/>
    <w:rsid w:val="00D632D8"/>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6A0"/>
    <w:rsid w:val="00E91BCE"/>
    <w:rsid w:val="00E91DA9"/>
    <w:rsid w:val="00E954B5"/>
    <w:rsid w:val="00E9705E"/>
    <w:rsid w:val="00EA0FF8"/>
    <w:rsid w:val="00EA1296"/>
    <w:rsid w:val="00EA26B5"/>
    <w:rsid w:val="00EA62A4"/>
    <w:rsid w:val="00EB0B95"/>
    <w:rsid w:val="00EB4FB3"/>
    <w:rsid w:val="00EB60C4"/>
    <w:rsid w:val="00EB6517"/>
    <w:rsid w:val="00EC2C77"/>
    <w:rsid w:val="00EC2E7D"/>
    <w:rsid w:val="00ED2101"/>
    <w:rsid w:val="00ED24FB"/>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933"/>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B0979"/>
    <w:rsid w:val="00FB10CC"/>
    <w:rsid w:val="00FB18E7"/>
    <w:rsid w:val="00FB366A"/>
    <w:rsid w:val="00FB5B55"/>
    <w:rsid w:val="00FB62D4"/>
    <w:rsid w:val="00FB7497"/>
    <w:rsid w:val="00FB7861"/>
    <w:rsid w:val="00FC6FD9"/>
    <w:rsid w:val="00FD3DBA"/>
    <w:rsid w:val="00FD3E2F"/>
    <w:rsid w:val="00FD578E"/>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171607807">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1CD32FAFCAD662597A2B5D85262E9CC15A8BD466693B36BAEFD99A0621F0A66AC722F00749D3E31A4BD1336j9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1CD32FAFCAD662597A2B5D85262E1CC15A8BD46649DB86FA9FD99A0621F0A66AC722F00749D3E31A4BC1136j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CD32FAFCAD662597A2ABD5440EBEC913A2E44F6F9DBA3AF2A2C2FD35160031EB3D7642309239323Aj0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4F654-D766-4BF0-98FE-07C6AAD8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4070</Words>
  <Characters>23199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2019-12-06T11:23:00Z</cp:lastPrinted>
  <dcterms:created xsi:type="dcterms:W3CDTF">2019-12-06T11:23:00Z</dcterms:created>
  <dcterms:modified xsi:type="dcterms:W3CDTF">2019-12-06T11:23:00Z</dcterms:modified>
</cp:coreProperties>
</file>